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63A3E" w14:textId="3CD66F32" w:rsidR="001916E5" w:rsidRPr="001916E5" w:rsidRDefault="001916E5" w:rsidP="008B73D2">
      <w:pPr>
        <w:pStyle w:val="Virsraksts3"/>
        <w:jc w:val="center"/>
        <w:rPr>
          <w:sz w:val="24"/>
          <w:szCs w:val="24"/>
        </w:rPr>
      </w:pPr>
      <w:bookmarkStart w:id="0" w:name="_Toc406507787"/>
      <w:bookmarkStart w:id="1" w:name="_Toc403027397"/>
      <w:r>
        <w:t xml:space="preserve">                                                                                          </w:t>
      </w:r>
      <w:r w:rsidRPr="001916E5">
        <w:rPr>
          <w:sz w:val="24"/>
          <w:szCs w:val="24"/>
        </w:rPr>
        <w:t>Pielikums Nr.2</w:t>
      </w:r>
    </w:p>
    <w:p w14:paraId="54CD636A" w14:textId="60E0122D" w:rsidR="00A901B4" w:rsidRPr="00872C50" w:rsidRDefault="00A901B4" w:rsidP="008B73D2">
      <w:pPr>
        <w:pStyle w:val="Virsraksts3"/>
        <w:jc w:val="center"/>
      </w:pPr>
      <w:r w:rsidRPr="00872C50">
        <w:t>LĪGUM</w:t>
      </w:r>
      <w:r w:rsidR="00872C50" w:rsidRPr="00872C50">
        <w:t>S</w:t>
      </w:r>
      <w:bookmarkEnd w:id="0"/>
      <w:bookmarkEnd w:id="1"/>
      <w:r w:rsidR="00A2720B">
        <w:t xml:space="preserve"> Nr.</w:t>
      </w:r>
      <w:r w:rsidR="004C14CE" w:rsidRPr="004C14CE">
        <w:t xml:space="preserve"> </w:t>
      </w:r>
    </w:p>
    <w:tbl>
      <w:tblPr>
        <w:tblStyle w:val="Reatabula"/>
        <w:tblW w:w="0" w:type="auto"/>
        <w:tblLook w:val="04A0" w:firstRow="1" w:lastRow="0" w:firstColumn="1" w:lastColumn="0" w:noHBand="0" w:noVBand="1"/>
      </w:tblPr>
      <w:tblGrid>
        <w:gridCol w:w="4694"/>
        <w:gridCol w:w="4695"/>
      </w:tblGrid>
      <w:tr w:rsidR="00FF4C7D" w14:paraId="33ECF45A" w14:textId="77777777" w:rsidTr="00FF4C7D">
        <w:tc>
          <w:tcPr>
            <w:tcW w:w="4694" w:type="dxa"/>
          </w:tcPr>
          <w:p w14:paraId="27C2BD53" w14:textId="51D36AD6" w:rsidR="00FF4C7D" w:rsidRDefault="00FF4C7D" w:rsidP="00A901B4"/>
        </w:tc>
        <w:tc>
          <w:tcPr>
            <w:tcW w:w="4695" w:type="dxa"/>
          </w:tcPr>
          <w:p w14:paraId="74E5EE1E" w14:textId="1E20043E" w:rsidR="00FF4C7D" w:rsidRDefault="00FF4C7D" w:rsidP="00A901B4">
            <w:r>
              <w:t xml:space="preserve">Līguma parakstīšanas datums ir pēdējā pievienotā drošā elektroniskā paraksta un tā laika zīmoga datums </w:t>
            </w:r>
          </w:p>
        </w:tc>
      </w:tr>
    </w:tbl>
    <w:p w14:paraId="4D9B25B1" w14:textId="77777777" w:rsidR="00A901B4" w:rsidRDefault="00A901B4" w:rsidP="00A901B4">
      <w:pPr>
        <w:jc w:val="both"/>
      </w:pPr>
    </w:p>
    <w:p w14:paraId="3B7B62BF" w14:textId="0A7B870B" w:rsidR="0007559C" w:rsidRDefault="005766F6" w:rsidP="00A901B4">
      <w:pPr>
        <w:ind w:firstLine="360"/>
        <w:jc w:val="both"/>
      </w:pPr>
      <w:r w:rsidRPr="00FF4C7D">
        <w:rPr>
          <w:b/>
        </w:rPr>
        <w:t>SIA “</w:t>
      </w:r>
      <w:r w:rsidR="00C8740F" w:rsidRPr="00FF4C7D">
        <w:rPr>
          <w:b/>
        </w:rPr>
        <w:t xml:space="preserve">Limbažu </w:t>
      </w:r>
      <w:r w:rsidR="00FF4C7D" w:rsidRPr="00FF4C7D">
        <w:rPr>
          <w:b/>
        </w:rPr>
        <w:t>s</w:t>
      </w:r>
      <w:r w:rsidR="00C8740F" w:rsidRPr="00FF4C7D">
        <w:rPr>
          <w:b/>
        </w:rPr>
        <w:t>iltums</w:t>
      </w:r>
      <w:r w:rsidR="00873CF3" w:rsidRPr="00FF4C7D">
        <w:rPr>
          <w:b/>
        </w:rPr>
        <w:t>”</w:t>
      </w:r>
      <w:r w:rsidR="00586B6B" w:rsidRPr="00FF4C7D">
        <w:t>,</w:t>
      </w:r>
      <w:r w:rsidR="00A901B4" w:rsidRPr="00FF4C7D">
        <w:t xml:space="preserve"> </w:t>
      </w:r>
      <w:r w:rsidR="00FF4C7D">
        <w:t xml:space="preserve">Reģ.Nr.40003006715, juridiskā adrese Jaunā iela 2A, Limbaži, Limbažu novads, LV-4001, </w:t>
      </w:r>
      <w:r w:rsidR="00811AF1" w:rsidRPr="00FF4C7D">
        <w:t>valdes</w:t>
      </w:r>
      <w:r w:rsidR="00FF4C7D">
        <w:t xml:space="preserve"> locekļa Aināra Grīviņa</w:t>
      </w:r>
      <w:r w:rsidR="005A7198" w:rsidRPr="00FF4C7D">
        <w:t xml:space="preserve"> </w:t>
      </w:r>
      <w:r w:rsidR="00A901B4" w:rsidRPr="00FF4C7D">
        <w:t xml:space="preserve">personā, </w:t>
      </w:r>
      <w:r w:rsidR="007A2C4B" w:rsidRPr="00FF4C7D">
        <w:t>kur</w:t>
      </w:r>
      <w:r w:rsidR="005A7198" w:rsidRPr="00FF4C7D">
        <w:t>š</w:t>
      </w:r>
      <w:r w:rsidR="00A901B4" w:rsidRPr="00FF4C7D">
        <w:t xml:space="preserve"> </w:t>
      </w:r>
      <w:r w:rsidR="00FF4C7D">
        <w:t>rīkojas saskaņā ar</w:t>
      </w:r>
      <w:r w:rsidR="007A2C4B" w:rsidRPr="00FF4C7D">
        <w:t xml:space="preserve"> </w:t>
      </w:r>
      <w:r w:rsidR="00471C92">
        <w:t>s</w:t>
      </w:r>
      <w:r w:rsidR="00FF4C7D">
        <w:t>tat</w:t>
      </w:r>
      <w:r w:rsidR="00471C92">
        <w:t>ūt</w:t>
      </w:r>
      <w:r w:rsidR="00FF4C7D">
        <w:t>iem</w:t>
      </w:r>
      <w:r w:rsidR="00471C92">
        <w:t xml:space="preserve"> </w:t>
      </w:r>
      <w:r w:rsidR="00A901B4" w:rsidRPr="00AF3D8C">
        <w:t>(turpmāk tekstā - Pasūtītājs), no vienas puses, un</w:t>
      </w:r>
      <w:r w:rsidR="00AB3396">
        <w:rPr>
          <w:iCs/>
        </w:rPr>
        <w:t xml:space="preserve"> </w:t>
      </w:r>
      <w:r w:rsidR="0026189F">
        <w:rPr>
          <w:iCs/>
        </w:rPr>
        <w:t>……….</w:t>
      </w:r>
      <w:r w:rsidR="00FF4C7D">
        <w:t>, juridiskā</w:t>
      </w:r>
      <w:r w:rsidR="00694E83">
        <w:t xml:space="preserve"> adrese</w:t>
      </w:r>
      <w:r w:rsidR="00FF4C7D">
        <w:t xml:space="preserve"> </w:t>
      </w:r>
      <w:r w:rsidR="0026189F">
        <w:t>…………….</w:t>
      </w:r>
      <w:r w:rsidR="00FF4C7D">
        <w:t>,</w:t>
      </w:r>
      <w:r w:rsidR="00AB3396">
        <w:rPr>
          <w:iCs/>
        </w:rPr>
        <w:t xml:space="preserve"> </w:t>
      </w:r>
      <w:r w:rsidR="0026189F">
        <w:rPr>
          <w:iCs/>
        </w:rPr>
        <w:t>………….</w:t>
      </w:r>
      <w:r w:rsidR="00A901B4">
        <w:t xml:space="preserve"> personā, kurš darbojas </w:t>
      </w:r>
      <w:r w:rsidR="00471C92">
        <w:t xml:space="preserve">saskaņā </w:t>
      </w:r>
      <w:r w:rsidR="00694E83">
        <w:t>(pārstāvības tiesības)</w:t>
      </w:r>
      <w:r w:rsidR="00A901B4">
        <w:rPr>
          <w:i/>
          <w:color w:val="FF0000"/>
        </w:rPr>
        <w:t xml:space="preserve"> </w:t>
      </w:r>
      <w:r w:rsidR="00A901B4">
        <w:t xml:space="preserve">(turpmāk tekstā - Izpildītājs) no otras puses, </w:t>
      </w:r>
    </w:p>
    <w:p w14:paraId="6636D2F0" w14:textId="3FF879D4" w:rsidR="00A901B4" w:rsidRDefault="0007559C" w:rsidP="00C11C11">
      <w:pPr>
        <w:ind w:firstLine="360"/>
        <w:jc w:val="both"/>
      </w:pPr>
      <w:r>
        <w:t xml:space="preserve">abi kopā turpmāk tekstā saukti – Puses, katrs atsevišķi </w:t>
      </w:r>
      <w:r w:rsidR="006012CD">
        <w:t>–</w:t>
      </w:r>
      <w:r>
        <w:t xml:space="preserve"> Puse</w:t>
      </w:r>
      <w:r w:rsidR="006012CD">
        <w:t>, savstarpēji vienojoties, bez maldības, viltus un spaidiem noslēdz šādu līgumu, turpmāk tekstā - Līgums</w:t>
      </w:r>
      <w:r w:rsidR="00A901B4">
        <w:t>:</w:t>
      </w:r>
    </w:p>
    <w:p w14:paraId="60471BED" w14:textId="77777777" w:rsidR="00A901B4" w:rsidRDefault="00A901B4" w:rsidP="00A901B4">
      <w:pPr>
        <w:pStyle w:val="Sarakstarindkopa"/>
        <w:numPr>
          <w:ilvl w:val="0"/>
          <w:numId w:val="1"/>
        </w:numPr>
        <w:rPr>
          <w:b/>
        </w:rPr>
      </w:pPr>
      <w:r>
        <w:rPr>
          <w:b/>
        </w:rPr>
        <w:t>Definīcijas</w:t>
      </w:r>
    </w:p>
    <w:p w14:paraId="23072BAA" w14:textId="77777777" w:rsidR="00A901B4" w:rsidRDefault="00A901B4" w:rsidP="00A901B4">
      <w:pPr>
        <w:numPr>
          <w:ilvl w:val="1"/>
          <w:numId w:val="1"/>
        </w:numPr>
        <w:ind w:left="567" w:hanging="567"/>
        <w:jc w:val="both"/>
      </w:pPr>
      <w:r>
        <w:t>Dienas ir kalendārās dienas.</w:t>
      </w:r>
    </w:p>
    <w:p w14:paraId="0706FD2D" w14:textId="09B3A7B8" w:rsidR="00A901B4" w:rsidRDefault="00A901B4" w:rsidP="00C11C11">
      <w:pPr>
        <w:numPr>
          <w:ilvl w:val="1"/>
          <w:numId w:val="1"/>
        </w:numPr>
        <w:ind w:left="567" w:hanging="567"/>
        <w:jc w:val="both"/>
      </w:pPr>
      <w:r w:rsidRPr="00197930">
        <w:t xml:space="preserve">Projekta vadītājs ir Pasūtītāja pārstāvis, kurš ir norīkots pārstāvēt Pasūtītāju: pieņemt lēmumus, dot rīkojumus un saskaņojumus šajā </w:t>
      </w:r>
      <w:r w:rsidR="002D7B0D">
        <w:t>L</w:t>
      </w:r>
      <w:r w:rsidRPr="00197930">
        <w:t>īgumā paredzētajos gadījumos. Pasūtītāja vārdā bez īpaša pilnvarojuma šajā punktā noteiktās darbības veic</w:t>
      </w:r>
      <w:r w:rsidR="00471C92">
        <w:t xml:space="preserve"> Normunds Zaķis</w:t>
      </w:r>
      <w:r w:rsidRPr="00197930">
        <w:t>, tālr.</w:t>
      </w:r>
      <w:r w:rsidR="00471C92">
        <w:t>: 29476636</w:t>
      </w:r>
      <w:r w:rsidRPr="00197930">
        <w:t>, e-pasts</w:t>
      </w:r>
      <w:r w:rsidR="00471C92">
        <w:t>: normunds.zakis@limbazusiltums.lv</w:t>
      </w:r>
      <w:r w:rsidRPr="00197930">
        <w:t>.</w:t>
      </w:r>
    </w:p>
    <w:p w14:paraId="322B48D7" w14:textId="4FA8E3C2" w:rsidR="00A901B4" w:rsidRDefault="00A901B4" w:rsidP="00A901B4">
      <w:pPr>
        <w:pStyle w:val="Sarakstarindkopa"/>
        <w:numPr>
          <w:ilvl w:val="0"/>
          <w:numId w:val="1"/>
        </w:numPr>
        <w:rPr>
          <w:b/>
        </w:rPr>
      </w:pPr>
      <w:bookmarkStart w:id="2" w:name="_Toc337802620"/>
      <w:r>
        <w:rPr>
          <w:b/>
        </w:rPr>
        <w:t>Līguma priekšmets</w:t>
      </w:r>
      <w:bookmarkEnd w:id="2"/>
    </w:p>
    <w:p w14:paraId="4196415D" w14:textId="40C009D7" w:rsidR="00A2720B" w:rsidRDefault="0095610B" w:rsidP="0095610B">
      <w:pPr>
        <w:jc w:val="both"/>
        <w:rPr>
          <w:i/>
        </w:rPr>
      </w:pPr>
      <w:r>
        <w:t xml:space="preserve">2.1. </w:t>
      </w:r>
      <w:r w:rsidR="00A901B4">
        <w:t>Pasūtītājs pasūta un Izpildītājs apņemas veikt</w:t>
      </w:r>
      <w:r w:rsidR="0026189F">
        <w:rPr>
          <w:i/>
        </w:rPr>
        <w:t xml:space="preserve"> tehniskā projekta izstrādi ………………..</w:t>
      </w:r>
      <w:r w:rsidR="00694E83" w:rsidRPr="00694E83">
        <w:rPr>
          <w:b/>
          <w:i/>
        </w:rPr>
        <w:t>ūdens</w:t>
      </w:r>
      <w:r w:rsidR="00694E83">
        <w:rPr>
          <w:i/>
        </w:rPr>
        <w:t xml:space="preserve"> </w:t>
      </w:r>
      <w:r w:rsidR="00C8740F" w:rsidRPr="00327358">
        <w:rPr>
          <w:b/>
          <w:bCs/>
          <w:i/>
          <w:iCs/>
          <w:lang w:eastAsia="lv-LV"/>
        </w:rPr>
        <w:t xml:space="preserve">apgādes un kanalizācijas </w:t>
      </w:r>
      <w:r w:rsidR="00327358" w:rsidRPr="00327358">
        <w:rPr>
          <w:b/>
          <w:bCs/>
          <w:i/>
          <w:iCs/>
          <w:lang w:eastAsia="lv-LV"/>
        </w:rPr>
        <w:t xml:space="preserve">tīklu </w:t>
      </w:r>
      <w:r w:rsidR="0026189F">
        <w:rPr>
          <w:b/>
          <w:bCs/>
          <w:i/>
          <w:iCs/>
          <w:lang w:eastAsia="lv-LV"/>
        </w:rPr>
        <w:t>……………………….</w:t>
      </w:r>
      <w:r w:rsidR="00694E83">
        <w:rPr>
          <w:b/>
          <w:bCs/>
          <w:i/>
          <w:iCs/>
          <w:lang w:eastAsia="lv-LV"/>
        </w:rPr>
        <w:t xml:space="preserve"> </w:t>
      </w:r>
      <w:r w:rsidR="00327358" w:rsidRPr="00327358">
        <w:rPr>
          <w:b/>
          <w:bCs/>
          <w:i/>
          <w:iCs/>
          <w:lang w:eastAsia="lv-LV"/>
        </w:rPr>
        <w:t>Limbažos</w:t>
      </w:r>
      <w:r w:rsidR="00AA6C35" w:rsidRPr="00AA6C35">
        <w:rPr>
          <w:b/>
          <w:bCs/>
          <w:i/>
          <w:iCs/>
        </w:rPr>
        <w:t xml:space="preserve"> </w:t>
      </w:r>
      <w:r w:rsidR="00A2720B" w:rsidRPr="00AA6C35">
        <w:rPr>
          <w:b/>
          <w:bCs/>
          <w:i/>
          <w:iCs/>
        </w:rPr>
        <w:t>būvprojekta izstrād</w:t>
      </w:r>
      <w:r w:rsidR="00601A94" w:rsidRPr="00AA6C35">
        <w:rPr>
          <w:b/>
          <w:bCs/>
          <w:i/>
          <w:iCs/>
        </w:rPr>
        <w:t>i</w:t>
      </w:r>
      <w:r w:rsidR="00457799">
        <w:rPr>
          <w:b/>
          <w:bCs/>
          <w:i/>
          <w:iCs/>
        </w:rPr>
        <w:t xml:space="preserve"> un au</w:t>
      </w:r>
      <w:r w:rsidR="00DB7CB3">
        <w:rPr>
          <w:b/>
          <w:bCs/>
          <w:i/>
          <w:iCs/>
        </w:rPr>
        <w:t>toruzraudzību</w:t>
      </w:r>
      <w:r w:rsidR="00BC3481">
        <w:rPr>
          <w:b/>
          <w:i/>
        </w:rPr>
        <w:t xml:space="preserve">, </w:t>
      </w:r>
      <w:r w:rsidR="00BC3481">
        <w:t xml:space="preserve">turpmāk tekstā – </w:t>
      </w:r>
      <w:r w:rsidR="001E7B0D">
        <w:t>Darbi</w:t>
      </w:r>
      <w:r w:rsidR="00047097">
        <w:rPr>
          <w:b/>
          <w:i/>
        </w:rPr>
        <w:t xml:space="preserve"> </w:t>
      </w:r>
      <w:r w:rsidR="002D7B0D" w:rsidRPr="002D7B0D">
        <w:t>(</w:t>
      </w:r>
      <w:r w:rsidR="00A2720B" w:rsidRPr="0095610B">
        <w:t>saskaņā</w:t>
      </w:r>
      <w:r w:rsidR="00A2720B">
        <w:t xml:space="preserve"> ar </w:t>
      </w:r>
      <w:r>
        <w:t>L</w:t>
      </w:r>
      <w:r w:rsidR="00A2720B">
        <w:t>īguma pielikumu</w:t>
      </w:r>
      <w:r w:rsidR="00603738">
        <w:t xml:space="preserve"> Nr.1 “</w:t>
      </w:r>
      <w:r w:rsidR="002D7B0D">
        <w:t>Pieteikums</w:t>
      </w:r>
      <w:r w:rsidR="00603738">
        <w:t>”, Līguma pielikumu Nr.3</w:t>
      </w:r>
      <w:r w:rsidR="002D7B0D">
        <w:t xml:space="preserve"> un Līguma pielikumu Nr.4</w:t>
      </w:r>
      <w:r w:rsidR="00603738">
        <w:t xml:space="preserve"> “</w:t>
      </w:r>
      <w:r w:rsidR="002D7B0D">
        <w:t>Projektēšanas</w:t>
      </w:r>
      <w:r w:rsidR="00603738">
        <w:t xml:space="preserve"> uzdevums” </w:t>
      </w:r>
      <w:r w:rsidR="00A2720B">
        <w:t xml:space="preserve">un </w:t>
      </w:r>
      <w:r w:rsidR="00A74F9F">
        <w:t>būvniecību</w:t>
      </w:r>
      <w:r w:rsidR="00A2720B">
        <w:t xml:space="preserve"> regulējošo normatīvo aktu prasībām</w:t>
      </w:r>
      <w:r w:rsidR="00BC3481">
        <w:t>)</w:t>
      </w:r>
      <w:r w:rsidR="00BC3481" w:rsidRPr="00BC3481">
        <w:rPr>
          <w:i/>
        </w:rPr>
        <w:t>.</w:t>
      </w:r>
    </w:p>
    <w:p w14:paraId="3C565DC8" w14:textId="2511DB6E" w:rsidR="00A901B4" w:rsidRDefault="0095610B" w:rsidP="00C11C11">
      <w:pPr>
        <w:jc w:val="both"/>
      </w:pPr>
      <w:r>
        <w:t xml:space="preserve">2.2. </w:t>
      </w:r>
      <w:r w:rsidR="001D094A">
        <w:t xml:space="preserve">Autoruzraudzību tiek veikta tikai tad, ja ir uzsākta </w:t>
      </w:r>
      <w:r w:rsidR="001D094A">
        <w:rPr>
          <w:b/>
          <w:bCs/>
          <w:i/>
          <w:iCs/>
          <w:lang w:eastAsia="lv-LV"/>
        </w:rPr>
        <w:t>ū</w:t>
      </w:r>
      <w:r w:rsidR="001D094A" w:rsidRPr="00327358">
        <w:rPr>
          <w:b/>
          <w:bCs/>
          <w:i/>
          <w:iCs/>
          <w:lang w:eastAsia="lv-LV"/>
        </w:rPr>
        <w:t xml:space="preserve">densapgādes un kanalizācijas tīklu </w:t>
      </w:r>
      <w:r w:rsidR="001D094A" w:rsidRPr="00C91FF5">
        <w:rPr>
          <w:b/>
          <w:bCs/>
          <w:i/>
          <w:iCs/>
          <w:u w:val="single"/>
          <w:lang w:eastAsia="lv-LV"/>
        </w:rPr>
        <w:t>izbūve</w:t>
      </w:r>
      <w:r w:rsidR="001D094A">
        <w:rPr>
          <w:b/>
          <w:bCs/>
          <w:i/>
          <w:iCs/>
          <w:lang w:eastAsia="lv-LV"/>
        </w:rPr>
        <w:t>.</w:t>
      </w:r>
    </w:p>
    <w:p w14:paraId="5858A90E" w14:textId="49954FBD" w:rsidR="00A901B4" w:rsidRDefault="00A901B4" w:rsidP="00A901B4">
      <w:pPr>
        <w:pStyle w:val="Sarakstarindkopa"/>
        <w:numPr>
          <w:ilvl w:val="0"/>
          <w:numId w:val="1"/>
        </w:numPr>
        <w:rPr>
          <w:b/>
        </w:rPr>
      </w:pPr>
      <w:bookmarkStart w:id="3" w:name="_Toc337802621"/>
      <w:r>
        <w:rPr>
          <w:b/>
        </w:rPr>
        <w:t>Līgumcena</w:t>
      </w:r>
      <w:bookmarkEnd w:id="3"/>
    </w:p>
    <w:p w14:paraId="25784D46" w14:textId="643D26B1" w:rsidR="005A6591" w:rsidRDefault="005A6591" w:rsidP="009E2582">
      <w:pPr>
        <w:numPr>
          <w:ilvl w:val="1"/>
          <w:numId w:val="1"/>
        </w:numPr>
        <w:ind w:left="567" w:hanging="567"/>
        <w:jc w:val="both"/>
      </w:pPr>
      <w:r>
        <w:t>Kopējo līgumcenu veido:</w:t>
      </w:r>
    </w:p>
    <w:p w14:paraId="1902424C" w14:textId="0EFDCFA1" w:rsidR="005A6591" w:rsidRDefault="0099565C" w:rsidP="005A6591">
      <w:pPr>
        <w:numPr>
          <w:ilvl w:val="2"/>
          <w:numId w:val="1"/>
        </w:numPr>
        <w:ind w:left="1276" w:hanging="709"/>
        <w:jc w:val="both"/>
      </w:pPr>
      <w:r>
        <w:t>Projektēšanas darbu izmaksas</w:t>
      </w:r>
      <w:r w:rsidR="000C439A">
        <w:t xml:space="preserve"> </w:t>
      </w:r>
      <w:r w:rsidR="00B62D91">
        <w:t>EUR</w:t>
      </w:r>
      <w:r w:rsidR="00BA195F">
        <w:t xml:space="preserve"> (</w:t>
      </w:r>
      <w:r w:rsidR="002D7B0D">
        <w:t>…</w:t>
      </w:r>
      <w:r w:rsidR="00BA195F">
        <w:t xml:space="preserve">), </w:t>
      </w:r>
      <w:r w:rsidR="00774B48">
        <w:t>PVN 21%</w:t>
      </w:r>
      <w:r w:rsidR="00BA195F">
        <w:t xml:space="preserve">  EUR (</w:t>
      </w:r>
      <w:r w:rsidR="002D7B0D">
        <w:t>…</w:t>
      </w:r>
      <w:r w:rsidR="00BA195F">
        <w:t>), kopējā summa  EUR (</w:t>
      </w:r>
      <w:r w:rsidR="002D7B0D">
        <w:t>…</w:t>
      </w:r>
      <w:r w:rsidR="00BA195F">
        <w:t>)</w:t>
      </w:r>
      <w:r w:rsidR="00774B48">
        <w:t>;</w:t>
      </w:r>
    </w:p>
    <w:p w14:paraId="271DD1A2" w14:textId="1BF33BF8" w:rsidR="00774B48" w:rsidRDefault="00774B48" w:rsidP="005A6591">
      <w:pPr>
        <w:numPr>
          <w:ilvl w:val="2"/>
          <w:numId w:val="1"/>
        </w:numPr>
        <w:ind w:left="1276" w:hanging="709"/>
        <w:jc w:val="both"/>
      </w:pPr>
      <w:r>
        <w:t>Autoruzraudzības izmaksas  EUR</w:t>
      </w:r>
      <w:r w:rsidR="002D7B0D">
        <w:t>(…</w:t>
      </w:r>
      <w:r w:rsidR="00BA195F">
        <w:t>)</w:t>
      </w:r>
      <w:r w:rsidR="0058587A">
        <w:t>,</w:t>
      </w:r>
      <w:r>
        <w:t xml:space="preserve"> PVN 21%</w:t>
      </w:r>
      <w:r w:rsidR="0058587A">
        <w:t xml:space="preserve"> EUR (</w:t>
      </w:r>
      <w:r w:rsidR="002D7B0D">
        <w:t>…</w:t>
      </w:r>
      <w:r w:rsidR="0058587A">
        <w:t>), kopējā summa EUR (</w:t>
      </w:r>
      <w:r w:rsidR="002D7B0D">
        <w:t>…</w:t>
      </w:r>
      <w:r w:rsidR="0058587A">
        <w:t>)</w:t>
      </w:r>
      <w:r>
        <w:t>.</w:t>
      </w:r>
    </w:p>
    <w:p w14:paraId="00EB07C9" w14:textId="26AA3081" w:rsidR="001E7B0D" w:rsidRDefault="001E7B0D" w:rsidP="001E7B0D">
      <w:pPr>
        <w:jc w:val="both"/>
      </w:pPr>
      <w:r>
        <w:t>3.2.   Samaksa par</w:t>
      </w:r>
      <w:r w:rsidR="0007559C">
        <w:t xml:space="preserve"> Līguma 3.1.1.</w:t>
      </w:r>
      <w:r>
        <w:t xml:space="preserve">  Darbiem tiek samaksāta Izpildītājam 10 (desmit) kalendāro dienu laikā pēc Darbu nodošanas, nodošanas – pievienošanas akta parakstīšanas un Izpildītāja rēķina saņemšanas.</w:t>
      </w:r>
    </w:p>
    <w:p w14:paraId="42D4DCA8" w14:textId="3D7D7972" w:rsidR="001E7B0D" w:rsidRDefault="001E7B0D" w:rsidP="001E7B0D">
      <w:pPr>
        <w:jc w:val="both"/>
      </w:pPr>
      <w:r>
        <w:t>3.3.   Samaksa par</w:t>
      </w:r>
      <w:r w:rsidR="0007559C">
        <w:t xml:space="preserve"> Līguma 3.1.2.</w:t>
      </w:r>
      <w:r>
        <w:t xml:space="preserve"> Darbiem tiek samaksāta Izpildītājam 10 (desmit) kalendāro dienu laikā pēc Darbu nodošanas, nodošanas – pievienošanas akta parakstīšanas un Izpildītāja rēķina saņemšanas.</w:t>
      </w:r>
    </w:p>
    <w:p w14:paraId="387474D8" w14:textId="2A79FDFF" w:rsidR="00F00F22" w:rsidRPr="00C11C11" w:rsidRDefault="00471C92" w:rsidP="00F00F22">
      <w:pPr>
        <w:jc w:val="both"/>
        <w:rPr>
          <w:b/>
          <w:bCs/>
          <w:i/>
          <w:iCs/>
          <w:lang w:eastAsia="lv-LV"/>
        </w:rPr>
      </w:pPr>
      <w:r>
        <w:t>3.</w:t>
      </w:r>
      <w:r w:rsidR="001E7B0D">
        <w:t>4</w:t>
      </w:r>
      <w:r>
        <w:t xml:space="preserve">.   Samaksa par </w:t>
      </w:r>
      <w:r w:rsidR="00C91FF5">
        <w:t xml:space="preserve">Līgumā </w:t>
      </w:r>
      <w:r w:rsidR="0007559C">
        <w:t>3.1</w:t>
      </w:r>
      <w:r w:rsidR="00C91FF5">
        <w:t xml:space="preserve">.2.punktā atrunāto </w:t>
      </w:r>
      <w:r>
        <w:t xml:space="preserve">Autoruzraudzību tiek veikta tikai tad, ja ir </w:t>
      </w:r>
      <w:r w:rsidR="00BA195F">
        <w:t xml:space="preserve">uzsākta </w:t>
      </w:r>
      <w:r w:rsidR="00BA195F">
        <w:rPr>
          <w:b/>
          <w:bCs/>
          <w:i/>
          <w:iCs/>
          <w:lang w:eastAsia="lv-LV"/>
        </w:rPr>
        <w:t>ū</w:t>
      </w:r>
      <w:r w:rsidR="00BA195F" w:rsidRPr="00327358">
        <w:rPr>
          <w:b/>
          <w:bCs/>
          <w:i/>
          <w:iCs/>
          <w:lang w:eastAsia="lv-LV"/>
        </w:rPr>
        <w:t>densapgādes un kanalizācijas tīklu</w:t>
      </w:r>
      <w:r w:rsidR="00BA195F">
        <w:rPr>
          <w:b/>
          <w:bCs/>
          <w:i/>
          <w:iCs/>
          <w:lang w:eastAsia="lv-LV"/>
        </w:rPr>
        <w:t xml:space="preserve">, </w:t>
      </w:r>
      <w:r w:rsidR="00BA195F" w:rsidRPr="007A37D0">
        <w:rPr>
          <w:b/>
          <w:bCs/>
          <w:i/>
          <w:iCs/>
          <w:u w:val="single"/>
          <w:lang w:eastAsia="lv-LV"/>
        </w:rPr>
        <w:t>izbūve</w:t>
      </w:r>
      <w:r w:rsidR="00BA195F">
        <w:rPr>
          <w:b/>
          <w:bCs/>
          <w:i/>
          <w:iCs/>
          <w:lang w:eastAsia="lv-LV"/>
        </w:rPr>
        <w:t>.</w:t>
      </w:r>
    </w:p>
    <w:p w14:paraId="4D78439B" w14:textId="6C49B722" w:rsidR="00A901B4" w:rsidRDefault="00A901B4" w:rsidP="00A901B4">
      <w:pPr>
        <w:pStyle w:val="Sarakstarindkopa"/>
        <w:numPr>
          <w:ilvl w:val="0"/>
          <w:numId w:val="1"/>
        </w:numPr>
        <w:rPr>
          <w:b/>
        </w:rPr>
      </w:pPr>
      <w:bookmarkStart w:id="4" w:name="_Toc337802622"/>
      <w:r>
        <w:rPr>
          <w:b/>
        </w:rPr>
        <w:t xml:space="preserve"> </w:t>
      </w:r>
      <w:bookmarkEnd w:id="4"/>
      <w:r w:rsidR="00C27314" w:rsidRPr="00C27314">
        <w:rPr>
          <w:b/>
        </w:rPr>
        <w:t>Pušu pienākumi un tiesības</w:t>
      </w:r>
    </w:p>
    <w:p w14:paraId="6421597E" w14:textId="77777777" w:rsidR="00D5457F" w:rsidRPr="00F522FB" w:rsidRDefault="00D5457F" w:rsidP="00F522FB">
      <w:pPr>
        <w:numPr>
          <w:ilvl w:val="1"/>
          <w:numId w:val="1"/>
        </w:numPr>
        <w:ind w:left="426" w:hanging="426"/>
        <w:contextualSpacing/>
        <w:jc w:val="both"/>
        <w:rPr>
          <w:b/>
          <w:bCs/>
          <w:u w:val="single"/>
        </w:rPr>
      </w:pPr>
      <w:r w:rsidRPr="00F522FB">
        <w:rPr>
          <w:b/>
          <w:bCs/>
          <w:u w:val="single"/>
        </w:rPr>
        <w:t>Izpildītāja pienākumi un tiesības:</w:t>
      </w:r>
    </w:p>
    <w:p w14:paraId="4AE626B5" w14:textId="77777777" w:rsidR="008E4798" w:rsidRPr="008E4798" w:rsidRDefault="008E4798" w:rsidP="008E4798">
      <w:pPr>
        <w:numPr>
          <w:ilvl w:val="2"/>
          <w:numId w:val="1"/>
        </w:numPr>
        <w:ind w:left="1276" w:hanging="709"/>
        <w:jc w:val="both"/>
      </w:pPr>
      <w:r w:rsidRPr="008E4798">
        <w:t>Izpildītājs uzņemas veikt Projekta izstrādi saskaņā ar Līgumu un tā pielikumu nosacījumiem.</w:t>
      </w:r>
    </w:p>
    <w:p w14:paraId="7A67BBE7" w14:textId="77777777" w:rsidR="008E4798" w:rsidRPr="008E4798" w:rsidRDefault="008E4798" w:rsidP="008E4798">
      <w:pPr>
        <w:numPr>
          <w:ilvl w:val="2"/>
          <w:numId w:val="1"/>
        </w:numPr>
        <w:ind w:left="1276" w:hanging="709"/>
        <w:jc w:val="both"/>
      </w:pPr>
      <w:r w:rsidRPr="008E4798">
        <w:t>Izpildītājs uzņemas neizpaust informāciju, nepaturēt un nenodot trešajām personām dokumentus vai to kopijas, kas ir pieejami saistībā ar pakalpojuma izpildi.</w:t>
      </w:r>
    </w:p>
    <w:p w14:paraId="78A07810" w14:textId="77777777" w:rsidR="008E4798" w:rsidRPr="008E4798" w:rsidRDefault="008E4798" w:rsidP="008E4798">
      <w:pPr>
        <w:numPr>
          <w:ilvl w:val="2"/>
          <w:numId w:val="1"/>
        </w:numPr>
        <w:suppressAutoHyphens/>
        <w:ind w:left="1276" w:hanging="709"/>
        <w:jc w:val="both"/>
      </w:pPr>
      <w:r w:rsidRPr="008E4798">
        <w:t>Izpildītājs apņemas neizpaust no Pasūtītāja saņemto informāciju, izņemot Projekta dokumentācijas saskaņošanas gadījumos, saskaņā ar spēkā esošo normatīvo aktu tiesisko regulējumu.</w:t>
      </w:r>
    </w:p>
    <w:p w14:paraId="3F2AF46D" w14:textId="77777777" w:rsidR="008E4798" w:rsidRPr="008E4798" w:rsidRDefault="008E4798" w:rsidP="008E4798">
      <w:pPr>
        <w:numPr>
          <w:ilvl w:val="2"/>
          <w:numId w:val="1"/>
        </w:numPr>
        <w:ind w:left="1276" w:hanging="709"/>
        <w:jc w:val="both"/>
      </w:pPr>
      <w:r w:rsidRPr="008E4798">
        <w:lastRenderedPageBreak/>
        <w:t>Parakstot Līgumu, Izpildītājs apliecina, ka ir iepazinies ar Līguma un tā pielikumu noteikumiem un atzinis tos par saistošiem un izpildāmiem. Izpildītājs apliecina, ka viņa rīcībā atrodas pietiekoši darbinieku un nepieciešamo materiālu resursi, kā arī citi līdzekļi, lai savlaicīgi un kvalitatīvi veiktu visus Līgumā un tā pielikumos noteiktos pienākumus.</w:t>
      </w:r>
    </w:p>
    <w:p w14:paraId="6DEFC1C0" w14:textId="77777777" w:rsidR="008E4798" w:rsidRPr="008E4798" w:rsidRDefault="008E4798" w:rsidP="008E4798">
      <w:pPr>
        <w:numPr>
          <w:ilvl w:val="2"/>
          <w:numId w:val="1"/>
        </w:numPr>
        <w:tabs>
          <w:tab w:val="left" w:pos="900"/>
        </w:tabs>
        <w:ind w:left="1276" w:hanging="709"/>
        <w:jc w:val="both"/>
        <w:rPr>
          <w:rFonts w:eastAsia="ヒラギノ角ゴ Pro W3"/>
          <w:lang w:eastAsia="lv-LV"/>
        </w:rPr>
      </w:pPr>
      <w:r w:rsidRPr="008E4798">
        <w:rPr>
          <w:rFonts w:eastAsia="ヒラギノ角ゴ Pro W3"/>
          <w:lang w:eastAsia="lv-LV"/>
        </w:rPr>
        <w:t>Izpildītāja atbildība kļūdainu risinājumu gadījumā ietver nepieciešamo korekciju izstrādāšanu Projekta Dokumentācijā bez papildu izmaksām Pasūtītājam Līgumā noteiktajā kārtībā.</w:t>
      </w:r>
    </w:p>
    <w:p w14:paraId="21E8DFE2" w14:textId="77777777" w:rsidR="008E4798" w:rsidRPr="008E4798" w:rsidRDefault="008E4798" w:rsidP="008E4798">
      <w:pPr>
        <w:numPr>
          <w:ilvl w:val="2"/>
          <w:numId w:val="1"/>
        </w:numPr>
        <w:ind w:left="1276" w:hanging="709"/>
        <w:jc w:val="both"/>
      </w:pPr>
      <w:r w:rsidRPr="008E4798">
        <w:t>Izpildītājs par saviem finanšu resursiem veic visus nepieciešamos priekšdarbus Projekta dokumentācijas sagatavošanai.</w:t>
      </w:r>
    </w:p>
    <w:p w14:paraId="6E7322AB" w14:textId="77777777" w:rsidR="00D5457F" w:rsidRPr="008E4798" w:rsidRDefault="00D5457F" w:rsidP="00F522FB">
      <w:pPr>
        <w:numPr>
          <w:ilvl w:val="2"/>
          <w:numId w:val="1"/>
        </w:numPr>
        <w:tabs>
          <w:tab w:val="left" w:pos="851"/>
        </w:tabs>
        <w:ind w:left="1276" w:hanging="709"/>
        <w:contextualSpacing/>
        <w:jc w:val="both"/>
        <w:rPr>
          <w:u w:val="single"/>
          <w:lang w:eastAsia="lv-LV"/>
        </w:rPr>
      </w:pPr>
      <w:r w:rsidRPr="008E4798">
        <w:t>Izpildītājs ir atbildīgs par to, lai visā autoruzraudzības veikšanas laikā tam būtu</w:t>
      </w:r>
      <w:r w:rsidRPr="008E4798">
        <w:rPr>
          <w:lang w:eastAsia="lv-LV"/>
        </w:rPr>
        <w:t xml:space="preserve"> spēkā esošas licences un sertifikāti, kas ir nepieciešami autoruzraudzības veikšanai saskaņā ar normatīvajiem aktiem.</w:t>
      </w:r>
    </w:p>
    <w:p w14:paraId="5205E98A" w14:textId="77777777" w:rsidR="00D5457F" w:rsidRPr="008E4798" w:rsidRDefault="00D5457F" w:rsidP="00F522FB">
      <w:pPr>
        <w:numPr>
          <w:ilvl w:val="2"/>
          <w:numId w:val="1"/>
        </w:numPr>
        <w:tabs>
          <w:tab w:val="left" w:pos="851"/>
        </w:tabs>
        <w:ind w:left="1276" w:hanging="709"/>
        <w:contextualSpacing/>
        <w:jc w:val="both"/>
        <w:rPr>
          <w:u w:val="single"/>
          <w:lang w:eastAsia="lv-LV"/>
        </w:rPr>
      </w:pPr>
      <w:r w:rsidRPr="008E4798">
        <w:rPr>
          <w:rFonts w:eastAsia="Calibri"/>
          <w:lang w:eastAsia="x-none"/>
        </w:rPr>
        <w:t>Izpildītājam ir pienākums visas atkāpes no tehniskā projekta fiksēt autoruzraudzības žurnālā. Attiecībā uz atkāpēm no tehniskā projekta, kuras ir saskaņotas ar Izpildītāju, Izpildītājs autoruzraudzības žurnālā izdara saskaņojuma atzīmi.</w:t>
      </w:r>
    </w:p>
    <w:p w14:paraId="47DD30DE" w14:textId="77777777" w:rsidR="00D5457F" w:rsidRPr="008E4798" w:rsidRDefault="00D5457F" w:rsidP="00F522FB">
      <w:pPr>
        <w:numPr>
          <w:ilvl w:val="2"/>
          <w:numId w:val="1"/>
        </w:numPr>
        <w:tabs>
          <w:tab w:val="left" w:pos="851"/>
        </w:tabs>
        <w:ind w:left="1276" w:hanging="709"/>
        <w:contextualSpacing/>
        <w:jc w:val="both"/>
        <w:rPr>
          <w:u w:val="single"/>
          <w:lang w:eastAsia="lv-LV"/>
        </w:rPr>
      </w:pPr>
      <w:r w:rsidRPr="008E4798">
        <w:rPr>
          <w:rFonts w:eastAsia="Calibri"/>
          <w:lang w:eastAsia="x-none"/>
        </w:rPr>
        <w:t>Izpildītājam ir pienākums ierasties Būvobjektā ne vēlāk kā nākamajā darba dienā pēc Pasūtītāja un/vai būvuzņēmēja rakstiska vai mutiska pieprasījuma saņemšanas.</w:t>
      </w:r>
    </w:p>
    <w:p w14:paraId="0BA89768" w14:textId="21AFB166" w:rsidR="00D5457F" w:rsidRPr="008E4798" w:rsidRDefault="00D5457F" w:rsidP="00F522FB">
      <w:pPr>
        <w:numPr>
          <w:ilvl w:val="2"/>
          <w:numId w:val="1"/>
        </w:numPr>
        <w:tabs>
          <w:tab w:val="left" w:pos="851"/>
        </w:tabs>
        <w:ind w:left="1276" w:hanging="709"/>
        <w:contextualSpacing/>
        <w:jc w:val="both"/>
        <w:rPr>
          <w:u w:val="single"/>
          <w:lang w:eastAsia="lv-LV"/>
        </w:rPr>
      </w:pPr>
      <w:r w:rsidRPr="008E4798">
        <w:rPr>
          <w:rFonts w:eastAsia="Calibri"/>
          <w:lang w:eastAsia="x-none"/>
        </w:rPr>
        <w:t>Izpildītājam ir pienākums ne vēlāk kā 3 (trīs) dienu laikā bez papildus atlīdzības izdarīt izmaiņas tehniskajā projektā, ja šādu izmaiņu nepieciešamība rodas sakarā</w:t>
      </w:r>
      <w:r w:rsidR="0007559C">
        <w:rPr>
          <w:rFonts w:eastAsia="Calibri"/>
          <w:lang w:eastAsia="x-none"/>
        </w:rPr>
        <w:t xml:space="preserve"> ar</w:t>
      </w:r>
      <w:r w:rsidRPr="008E4798">
        <w:rPr>
          <w:rFonts w:eastAsia="Calibri"/>
          <w:lang w:eastAsia="x-none"/>
        </w:rPr>
        <w:t xml:space="preserve"> kļūdu </w:t>
      </w:r>
      <w:r w:rsidR="00196087">
        <w:rPr>
          <w:rFonts w:eastAsia="Calibri"/>
          <w:lang w:eastAsia="x-none"/>
        </w:rPr>
        <w:t>būv</w:t>
      </w:r>
      <w:r w:rsidRPr="008E4798">
        <w:rPr>
          <w:rFonts w:eastAsia="Calibri"/>
          <w:lang w:eastAsia="x-none"/>
        </w:rPr>
        <w:t>projektā;</w:t>
      </w:r>
    </w:p>
    <w:p w14:paraId="5DC533B1" w14:textId="3C51EFC6" w:rsidR="00D5457F" w:rsidRPr="008E4798" w:rsidRDefault="00D5457F" w:rsidP="00F522FB">
      <w:pPr>
        <w:numPr>
          <w:ilvl w:val="2"/>
          <w:numId w:val="1"/>
        </w:numPr>
        <w:tabs>
          <w:tab w:val="left" w:pos="851"/>
        </w:tabs>
        <w:ind w:left="1276" w:hanging="709"/>
        <w:contextualSpacing/>
        <w:jc w:val="both"/>
        <w:rPr>
          <w:u w:val="single"/>
          <w:lang w:eastAsia="lv-LV"/>
        </w:rPr>
      </w:pPr>
      <w:r w:rsidRPr="008E4798">
        <w:rPr>
          <w:rFonts w:eastAsia="Calibri"/>
          <w:lang w:eastAsia="x-none"/>
        </w:rPr>
        <w:t xml:space="preserve">Izpildītājam ir pienākums sniegt būvniecības dalībniekiem rakstiskas atbildes uz jautājumiem, kas tiem radušies būvdarbu gaitā. Katrai atbildei jābūt pēc būtības un pamatotai. </w:t>
      </w:r>
    </w:p>
    <w:p w14:paraId="715CEF01" w14:textId="2E978E00" w:rsidR="00D5457F" w:rsidRPr="008E4798" w:rsidRDefault="00D5457F" w:rsidP="00F522FB">
      <w:pPr>
        <w:numPr>
          <w:ilvl w:val="2"/>
          <w:numId w:val="1"/>
        </w:numPr>
        <w:tabs>
          <w:tab w:val="left" w:pos="851"/>
        </w:tabs>
        <w:ind w:left="1276" w:hanging="709"/>
        <w:contextualSpacing/>
        <w:jc w:val="both"/>
        <w:rPr>
          <w:u w:val="single"/>
          <w:lang w:eastAsia="lv-LV"/>
        </w:rPr>
      </w:pPr>
      <w:r w:rsidRPr="008E4798">
        <w:rPr>
          <w:rFonts w:eastAsia="Calibri"/>
        </w:rPr>
        <w:t xml:space="preserve">Izpildītājam ir pienākums ievērot un pildīt pienākumus, kas noteikti </w:t>
      </w:r>
      <w:r w:rsidRPr="008E4798">
        <w:rPr>
          <w:rFonts w:eastAsia="Calibri"/>
          <w:shd w:val="clear" w:color="auto" w:fill="FFFFFF"/>
        </w:rPr>
        <w:t>2014.gada 19.augusta</w:t>
      </w:r>
      <w:r w:rsidRPr="008E4798">
        <w:rPr>
          <w:rFonts w:eastAsia="Calibri"/>
        </w:rPr>
        <w:t xml:space="preserve"> Ministru Kabineta noteikumos Nr.500 “</w:t>
      </w:r>
      <w:r w:rsidRPr="008E4798">
        <w:rPr>
          <w:rFonts w:eastAsia="Calibri"/>
          <w:shd w:val="clear" w:color="auto" w:fill="FFFFFF"/>
        </w:rPr>
        <w:t>Vispārīgie būvnoteikumi</w:t>
      </w:r>
      <w:r w:rsidRPr="008E4798">
        <w:rPr>
          <w:rFonts w:eastAsia="Calibri"/>
        </w:rPr>
        <w:t>” un darba uzdevumā (</w:t>
      </w:r>
      <w:r w:rsidR="002D7B0D">
        <w:t>Līguma pielikum</w:t>
      </w:r>
      <w:r w:rsidR="002D7B0D">
        <w:t>s</w:t>
      </w:r>
      <w:r w:rsidR="002D7B0D">
        <w:t xml:space="preserve"> Nr.3 un Līguma pielikums Nr.4 “Projektēšanas uzdevums”</w:t>
      </w:r>
      <w:r w:rsidRPr="008E4798">
        <w:rPr>
          <w:rFonts w:eastAsia="Calibri"/>
        </w:rPr>
        <w:t>).</w:t>
      </w:r>
    </w:p>
    <w:p w14:paraId="51290ABC" w14:textId="1EFB51B3" w:rsidR="00D5457F" w:rsidRPr="00C11C11" w:rsidRDefault="00D5457F" w:rsidP="00C11C11">
      <w:pPr>
        <w:numPr>
          <w:ilvl w:val="2"/>
          <w:numId w:val="1"/>
        </w:numPr>
        <w:tabs>
          <w:tab w:val="left" w:pos="993"/>
          <w:tab w:val="left" w:pos="1985"/>
        </w:tabs>
        <w:ind w:left="1276" w:hanging="709"/>
        <w:contextualSpacing/>
        <w:jc w:val="both"/>
        <w:rPr>
          <w:u w:val="single"/>
          <w:lang w:eastAsia="lv-LV"/>
        </w:rPr>
      </w:pPr>
      <w:r w:rsidRPr="008E4798">
        <w:rPr>
          <w:rFonts w:eastAsia="Calibri"/>
          <w:lang w:eastAsia="x-none"/>
        </w:rPr>
        <w:t>Izpildītājam ir tiesības, kas ir noteikti</w:t>
      </w:r>
      <w:r w:rsidRPr="008E4798">
        <w:rPr>
          <w:rFonts w:eastAsia="Calibri"/>
        </w:rPr>
        <w:t xml:space="preserve"> </w:t>
      </w:r>
      <w:r w:rsidRPr="008E4798">
        <w:rPr>
          <w:rFonts w:eastAsia="Calibri"/>
          <w:shd w:val="clear" w:color="auto" w:fill="FFFFFF"/>
        </w:rPr>
        <w:t>2014.gada 19.augusta</w:t>
      </w:r>
      <w:r w:rsidRPr="008E4798">
        <w:rPr>
          <w:rFonts w:eastAsia="Calibri"/>
        </w:rPr>
        <w:t xml:space="preserve"> Ministru Kabineta noteikumos Nr.500 “</w:t>
      </w:r>
      <w:r w:rsidRPr="008E4798">
        <w:rPr>
          <w:rFonts w:eastAsia="Calibri"/>
          <w:shd w:val="clear" w:color="auto" w:fill="FFFFFF"/>
        </w:rPr>
        <w:t>Vispārīgie būvnoteikumi</w:t>
      </w:r>
      <w:r w:rsidRPr="008E4798">
        <w:rPr>
          <w:rFonts w:eastAsia="Calibri"/>
        </w:rPr>
        <w:t>”.</w:t>
      </w:r>
    </w:p>
    <w:p w14:paraId="2E8DA477" w14:textId="77777777" w:rsidR="00D5457F" w:rsidRPr="00F522FB" w:rsidRDefault="00D5457F" w:rsidP="00F522FB">
      <w:pPr>
        <w:numPr>
          <w:ilvl w:val="1"/>
          <w:numId w:val="1"/>
        </w:numPr>
        <w:tabs>
          <w:tab w:val="left" w:pos="284"/>
        </w:tabs>
        <w:ind w:hanging="786"/>
        <w:contextualSpacing/>
        <w:jc w:val="both"/>
        <w:rPr>
          <w:rFonts w:eastAsia="Calibri"/>
          <w:u w:val="single"/>
          <w:lang w:eastAsia="x-none"/>
        </w:rPr>
      </w:pPr>
      <w:r w:rsidRPr="00F522FB">
        <w:rPr>
          <w:rFonts w:eastAsia="Calibri"/>
          <w:b/>
          <w:bCs/>
          <w:u w:val="single"/>
          <w:lang w:eastAsia="x-none"/>
        </w:rPr>
        <w:t>Pasūtītāja pienākumi un tiesības:</w:t>
      </w:r>
    </w:p>
    <w:p w14:paraId="0AEB3EBA" w14:textId="71B8157C" w:rsidR="00D5457F" w:rsidRPr="00F522FB" w:rsidRDefault="00D5457F" w:rsidP="00F522FB">
      <w:pPr>
        <w:numPr>
          <w:ilvl w:val="2"/>
          <w:numId w:val="1"/>
        </w:numPr>
        <w:tabs>
          <w:tab w:val="left" w:pos="284"/>
          <w:tab w:val="left" w:pos="851"/>
        </w:tabs>
        <w:ind w:left="993" w:hanging="567"/>
        <w:contextualSpacing/>
        <w:jc w:val="both"/>
        <w:rPr>
          <w:rFonts w:eastAsia="Calibri"/>
          <w:u w:val="single"/>
          <w:lang w:eastAsia="x-none"/>
        </w:rPr>
      </w:pPr>
      <w:r w:rsidRPr="00F522FB">
        <w:rPr>
          <w:lang w:eastAsia="lv-LV"/>
        </w:rPr>
        <w:t xml:space="preserve">Pasūtītājam ir pienākums norēķināties ar Izpildītāju par padarītajiem darbiem </w:t>
      </w:r>
      <w:r w:rsidR="000E50E5">
        <w:rPr>
          <w:lang w:eastAsia="lv-LV"/>
        </w:rPr>
        <w:t>L</w:t>
      </w:r>
      <w:r w:rsidRPr="00F522FB">
        <w:rPr>
          <w:lang w:eastAsia="lv-LV"/>
        </w:rPr>
        <w:t>īgumā noteiktajā kārtībā.</w:t>
      </w:r>
    </w:p>
    <w:p w14:paraId="7DD222B5" w14:textId="77777777" w:rsidR="00D5457F" w:rsidRPr="00F522FB" w:rsidRDefault="00D5457F" w:rsidP="00F522FB">
      <w:pPr>
        <w:numPr>
          <w:ilvl w:val="2"/>
          <w:numId w:val="1"/>
        </w:numPr>
        <w:tabs>
          <w:tab w:val="left" w:pos="284"/>
          <w:tab w:val="left" w:pos="851"/>
        </w:tabs>
        <w:ind w:left="993" w:hanging="567"/>
        <w:contextualSpacing/>
        <w:jc w:val="both"/>
        <w:rPr>
          <w:rFonts w:eastAsia="Calibri"/>
          <w:u w:val="single"/>
          <w:lang w:eastAsia="x-none"/>
        </w:rPr>
      </w:pPr>
      <w:r w:rsidRPr="00F522FB">
        <w:rPr>
          <w:rFonts w:eastAsia="Calibri"/>
        </w:rPr>
        <w:t>Pasūtītāja pienākums ir izsniegt Izpildītājam visu Darba veikšanai nepieciešamo informāciju un dokumentāciju.</w:t>
      </w:r>
    </w:p>
    <w:p w14:paraId="2F146801" w14:textId="201A972E" w:rsidR="00A901B4" w:rsidRPr="00C11C11" w:rsidRDefault="00D5457F" w:rsidP="00C11C11">
      <w:pPr>
        <w:numPr>
          <w:ilvl w:val="2"/>
          <w:numId w:val="1"/>
        </w:numPr>
        <w:tabs>
          <w:tab w:val="left" w:pos="284"/>
          <w:tab w:val="left" w:pos="851"/>
        </w:tabs>
        <w:ind w:left="993" w:hanging="567"/>
        <w:contextualSpacing/>
        <w:jc w:val="both"/>
        <w:rPr>
          <w:rFonts w:eastAsia="Calibri"/>
          <w:u w:val="single"/>
          <w:lang w:eastAsia="x-none"/>
        </w:rPr>
      </w:pPr>
      <w:r w:rsidRPr="00F522FB">
        <w:rPr>
          <w:rFonts w:eastAsia="Calibri"/>
        </w:rPr>
        <w:t>Pasūtītājam ir tiesības jebkurā laikā bez iepriekšēja brīdinājuma ierasties Objektā un veikt atbilstības pārbaudes. Izpildītājam ir jānodrošina Pasūtītāja pārstāvjiem iespējas veikt minētās darbības un jānodrošina kompetenta pārstāvja piedalīšanās, lai parakstītu aktu par to, ka šīs uzraudzības darbības ir veiktas.</w:t>
      </w:r>
    </w:p>
    <w:p w14:paraId="3CE6B95E" w14:textId="03BC29DE" w:rsidR="00A901B4" w:rsidRDefault="00A901B4" w:rsidP="00A901B4">
      <w:pPr>
        <w:pStyle w:val="Sarakstarindkopa"/>
        <w:numPr>
          <w:ilvl w:val="0"/>
          <w:numId w:val="1"/>
        </w:numPr>
        <w:rPr>
          <w:b/>
        </w:rPr>
      </w:pPr>
      <w:bookmarkStart w:id="5" w:name="_Toc337802623"/>
      <w:r>
        <w:rPr>
          <w:b/>
        </w:rPr>
        <w:t>Izpildītāja personāls</w:t>
      </w:r>
      <w:bookmarkEnd w:id="5"/>
    </w:p>
    <w:p w14:paraId="7A621E2A" w14:textId="15EA4604" w:rsidR="00A901B4" w:rsidRDefault="00BC3481" w:rsidP="00A901B4">
      <w:pPr>
        <w:numPr>
          <w:ilvl w:val="1"/>
          <w:numId w:val="1"/>
        </w:numPr>
        <w:ind w:left="567" w:hanging="567"/>
        <w:jc w:val="both"/>
      </w:pPr>
      <w:r>
        <w:t>Būvprojekta</w:t>
      </w:r>
      <w:r w:rsidR="00A901B4">
        <w:t xml:space="preserve"> veikšanai Izpildītājs</w:t>
      </w:r>
      <w:r w:rsidR="00872C50">
        <w:t xml:space="preserve"> piesaista būvprojekta vadītāju </w:t>
      </w:r>
      <w:r w:rsidR="0026189F">
        <w:t>………………</w:t>
      </w:r>
      <w:r w:rsidR="00603738">
        <w:t>(turpmāk tekstā – Projekta vadītājs)</w:t>
      </w:r>
      <w:r w:rsidR="00A901B4" w:rsidRPr="00872C50">
        <w:t xml:space="preserve"> </w:t>
      </w:r>
      <w:r w:rsidR="00A901B4">
        <w:t>un pārējo savā piedāvājumā minēto personālu. Izpildītājs atbild par sava personāla veikto darbu. Personāla maiņa Izpildītājam jāsaskaņo ar Projekta vadītāju. Piedāvātā personāla kvalifikācijai jābūt tādai pašai vai labākai kā nomaināmajam personālam.</w:t>
      </w:r>
    </w:p>
    <w:p w14:paraId="212C3B5A" w14:textId="77777777" w:rsidR="00A901B4" w:rsidRDefault="00A901B4" w:rsidP="00A901B4">
      <w:pPr>
        <w:numPr>
          <w:ilvl w:val="1"/>
          <w:numId w:val="1"/>
        </w:numPr>
        <w:ind w:left="567" w:hanging="567"/>
        <w:jc w:val="both"/>
      </w:pPr>
      <w:r>
        <w:t xml:space="preserve">Izpildītājam ir jānomaina ikviens no </w:t>
      </w:r>
      <w:r w:rsidR="00BC3481">
        <w:t>Būvprojekta</w:t>
      </w:r>
      <w:r>
        <w:t xml:space="preserve"> izpildē iesaistītā (piedāvājumā minētā vai nomainītā) personāla, ja to pieprasa Pasūtītājs un pamato ar kādu no šādiem iemesliem:</w:t>
      </w:r>
    </w:p>
    <w:p w14:paraId="38EDBC8B" w14:textId="77777777" w:rsidR="00A901B4" w:rsidRDefault="00A901B4" w:rsidP="00A901B4">
      <w:pPr>
        <w:numPr>
          <w:ilvl w:val="2"/>
          <w:numId w:val="1"/>
        </w:numPr>
        <w:ind w:left="1276" w:hanging="709"/>
        <w:jc w:val="both"/>
      </w:pPr>
      <w:r>
        <w:t>atkārtota pavirša savu pienākumu pildīšana;</w:t>
      </w:r>
    </w:p>
    <w:p w14:paraId="1366F9F7" w14:textId="77777777" w:rsidR="00A901B4" w:rsidRDefault="00A901B4" w:rsidP="00A901B4">
      <w:pPr>
        <w:numPr>
          <w:ilvl w:val="2"/>
          <w:numId w:val="1"/>
        </w:numPr>
        <w:ind w:left="1276" w:hanging="709"/>
        <w:jc w:val="both"/>
      </w:pPr>
      <w:r>
        <w:t>nekompetence vai nolaidība;</w:t>
      </w:r>
    </w:p>
    <w:p w14:paraId="7090278F" w14:textId="55F639AF" w:rsidR="00A901B4" w:rsidRDefault="0007559C" w:rsidP="00A901B4">
      <w:pPr>
        <w:numPr>
          <w:ilvl w:val="2"/>
          <w:numId w:val="1"/>
        </w:numPr>
        <w:ind w:left="1276" w:hanging="709"/>
        <w:jc w:val="both"/>
      </w:pPr>
      <w:r>
        <w:t>L</w:t>
      </w:r>
      <w:r w:rsidR="00A901B4">
        <w:t xml:space="preserve">īgumā noteikto saistību vai pienākumu nepildīšana; </w:t>
      </w:r>
    </w:p>
    <w:p w14:paraId="4ABB1410" w14:textId="67C8395D" w:rsidR="00A317D9" w:rsidRDefault="00A901B4" w:rsidP="00A317D9">
      <w:pPr>
        <w:numPr>
          <w:ilvl w:val="1"/>
          <w:numId w:val="1"/>
        </w:numPr>
        <w:ind w:left="567" w:hanging="567"/>
        <w:jc w:val="both"/>
      </w:pPr>
      <w:r>
        <w:t xml:space="preserve">Projekta vadītājs pieņem lēmumu atļaut vai atteikt darbinieku nomaiņu iespējami īsā laikā, bet ne vēlāk kā 5 (piecu) darbdienu laikā pēc tam, kad saņēmis visu informāciju un </w:t>
      </w:r>
      <w:r>
        <w:lastRenderedPageBreak/>
        <w:t xml:space="preserve">dokumentus, kas nepieciešami lēmuma pieņemšanai saskaņā ar šīs </w:t>
      </w:r>
      <w:r w:rsidR="0007559C">
        <w:t>L</w:t>
      </w:r>
      <w:r>
        <w:t>īguma nodaļas noteikumiem.</w:t>
      </w:r>
    </w:p>
    <w:p w14:paraId="1542085D" w14:textId="77777777" w:rsidR="00A901B4" w:rsidRDefault="00A901B4" w:rsidP="00A901B4">
      <w:pPr>
        <w:pStyle w:val="Sarakstarindkopa"/>
        <w:numPr>
          <w:ilvl w:val="0"/>
          <w:numId w:val="1"/>
        </w:numPr>
        <w:rPr>
          <w:b/>
        </w:rPr>
      </w:pPr>
      <w:r>
        <w:rPr>
          <w:b/>
        </w:rPr>
        <w:t>Termiņi</w:t>
      </w:r>
    </w:p>
    <w:p w14:paraId="21479035" w14:textId="77777777" w:rsidR="00A901B4" w:rsidRDefault="00A901B4" w:rsidP="00A901B4">
      <w:pPr>
        <w:numPr>
          <w:ilvl w:val="1"/>
          <w:numId w:val="1"/>
        </w:numPr>
        <w:ind w:left="567" w:hanging="567"/>
        <w:jc w:val="both"/>
      </w:pPr>
      <w:r>
        <w:rPr>
          <w:snapToGrid w:val="0"/>
        </w:rPr>
        <w:t>Līgums stājas spēkā no tā parakstīšanas dienas un ir spēkā līdz tajā nolīgto saistību pilnīgai izpildīšanai.</w:t>
      </w:r>
    </w:p>
    <w:p w14:paraId="2744F94B" w14:textId="21CE3C05" w:rsidR="00A901B4" w:rsidRDefault="00BC3481" w:rsidP="00C11C11">
      <w:pPr>
        <w:numPr>
          <w:ilvl w:val="1"/>
          <w:numId w:val="1"/>
        </w:numPr>
        <w:ind w:left="567" w:hanging="567"/>
        <w:jc w:val="both"/>
      </w:pPr>
      <w:r>
        <w:t>Būvprojekta</w:t>
      </w:r>
      <w:r w:rsidR="00291699" w:rsidRPr="00197930">
        <w:t xml:space="preserve"> izpildes termiņš - </w:t>
      </w:r>
      <w:r w:rsidR="0026189F">
        <w:t xml:space="preserve"> 4 mēnešu laikā </w:t>
      </w:r>
      <w:r w:rsidR="00291699" w:rsidRPr="00197930">
        <w:t xml:space="preserve">no Līguma noslēgšanas dienas. </w:t>
      </w:r>
    </w:p>
    <w:p w14:paraId="1C1C7BE7" w14:textId="77777777" w:rsidR="00A901B4" w:rsidRDefault="00A901B4" w:rsidP="00A901B4">
      <w:pPr>
        <w:pStyle w:val="Sarakstarindkopa"/>
        <w:numPr>
          <w:ilvl w:val="0"/>
          <w:numId w:val="1"/>
        </w:numPr>
        <w:rPr>
          <w:b/>
        </w:rPr>
      </w:pPr>
      <w:bookmarkStart w:id="6" w:name="_Toc337802626"/>
      <w:r>
        <w:rPr>
          <w:b/>
        </w:rPr>
        <w:t xml:space="preserve">Apdrošināšana </w:t>
      </w:r>
    </w:p>
    <w:p w14:paraId="62AB6FC3" w14:textId="32C56E0E" w:rsidR="00A901B4" w:rsidRPr="00C11C11" w:rsidRDefault="00A901B4" w:rsidP="00C11C11">
      <w:pPr>
        <w:numPr>
          <w:ilvl w:val="1"/>
          <w:numId w:val="1"/>
        </w:numPr>
        <w:ind w:left="567" w:hanging="567"/>
        <w:jc w:val="both"/>
      </w:pPr>
      <w:r>
        <w:t xml:space="preserve">Izpildītājam ir pienākums 3 (trīs) dienu laikā pēc </w:t>
      </w:r>
      <w:r w:rsidR="00603738">
        <w:t>Lī</w:t>
      </w:r>
      <w:r>
        <w:t xml:space="preserve">guma parakstīšanas iesniegt Pasūtītājam būvspeciālista, kas veiks būvprojekta vadītāja pienākumus, profesionālās civiltiesiskās atbildības apdrošināšanas līgumu. Apdrošināšanas līgumu slēdz atbilstoši Ministru kabineta 2014. gada 19. augusta noteikumiem Nr.502 „Noteikumi par </w:t>
      </w:r>
      <w:proofErr w:type="spellStart"/>
      <w:r>
        <w:t>būvspeciālistu</w:t>
      </w:r>
      <w:proofErr w:type="spellEnd"/>
      <w:r>
        <w:t xml:space="preserve"> un būvdarbu veicēju civiltiesiskās atbildības obligāto apdrošināšanu”. Izpildītājam jānodrošina, ka apdrošināšanas līgums ir spēkā projektēšanas un būvdarbu izpildes laikā.</w:t>
      </w:r>
    </w:p>
    <w:p w14:paraId="35BA5F4F" w14:textId="2A281D69" w:rsidR="00A901B4" w:rsidRDefault="00A901B4" w:rsidP="00A901B4">
      <w:pPr>
        <w:pStyle w:val="Sarakstarindkopa"/>
        <w:numPr>
          <w:ilvl w:val="0"/>
          <w:numId w:val="1"/>
        </w:numPr>
        <w:rPr>
          <w:b/>
        </w:rPr>
      </w:pPr>
      <w:bookmarkStart w:id="7" w:name="_Toc337802629"/>
      <w:bookmarkEnd w:id="6"/>
      <w:r>
        <w:rPr>
          <w:b/>
        </w:rPr>
        <w:t>Līguma grozīšana</w:t>
      </w:r>
      <w:bookmarkEnd w:id="7"/>
    </w:p>
    <w:p w14:paraId="49E737BC" w14:textId="50721784" w:rsidR="00A901B4" w:rsidRDefault="00A901B4" w:rsidP="00A901B4">
      <w:pPr>
        <w:numPr>
          <w:ilvl w:val="1"/>
          <w:numId w:val="1"/>
        </w:numPr>
        <w:ind w:left="567" w:hanging="567"/>
        <w:jc w:val="both"/>
      </w:pPr>
      <w:r>
        <w:t xml:space="preserve">Ja pēc </w:t>
      </w:r>
      <w:r w:rsidR="0007559C">
        <w:t>L</w:t>
      </w:r>
      <w:r>
        <w:t xml:space="preserve">īguma noslēgšanas datuma spēkā esošajos normatīvajos aktos tiek izdarīti grozījumi, kas pazemina vai paaugstina </w:t>
      </w:r>
      <w:r w:rsidR="00CB0D01">
        <w:t>Būvprojekta</w:t>
      </w:r>
      <w:r>
        <w:t xml:space="preserve"> izmaksas, un šādi grozījumi nav atspoguļoti </w:t>
      </w:r>
      <w:r w:rsidR="0007559C">
        <w:t>L</w:t>
      </w:r>
      <w:r>
        <w:t xml:space="preserve">īgumcenā, tad, pēc abu </w:t>
      </w:r>
      <w:r w:rsidR="00603738">
        <w:t>P</w:t>
      </w:r>
      <w:r>
        <w:t xml:space="preserve">ušu savstarpējas vienošanās, tiek grozīta </w:t>
      </w:r>
      <w:r w:rsidR="0007559C">
        <w:t>l</w:t>
      </w:r>
      <w:r>
        <w:t>īgumcena.</w:t>
      </w:r>
    </w:p>
    <w:p w14:paraId="4651FF90" w14:textId="5F31F727" w:rsidR="00A901B4" w:rsidRDefault="00A901B4" w:rsidP="00A901B4">
      <w:pPr>
        <w:pStyle w:val="Sarakstarindkopa"/>
        <w:numPr>
          <w:ilvl w:val="1"/>
          <w:numId w:val="1"/>
        </w:numPr>
        <w:ind w:left="567" w:hanging="567"/>
        <w:jc w:val="both"/>
      </w:pPr>
      <w:r>
        <w:t xml:space="preserve">Līgumcena var tikt grozīta, ja </w:t>
      </w:r>
      <w:r w:rsidR="00603738">
        <w:t>P</w:t>
      </w:r>
      <w:r>
        <w:t xml:space="preserve">uses vienojas grozīt </w:t>
      </w:r>
      <w:r w:rsidR="00E029DC">
        <w:t xml:space="preserve">Līguma pielikumu Nr.3 un Līguma pielikumu Nr.4 “Projektēšanas uzdevums” </w:t>
      </w:r>
      <w:r>
        <w:t xml:space="preserve"> un tas ietekmē Izpildītāja izdevumus. </w:t>
      </w:r>
    </w:p>
    <w:p w14:paraId="136498A7" w14:textId="43876216" w:rsidR="00A901B4" w:rsidRDefault="00A901B4" w:rsidP="00A901B4">
      <w:pPr>
        <w:numPr>
          <w:ilvl w:val="1"/>
          <w:numId w:val="1"/>
        </w:numPr>
        <w:ind w:left="567" w:hanging="567"/>
        <w:jc w:val="both"/>
      </w:pPr>
      <w:r>
        <w:t xml:space="preserve">Līguma grozījumus ierosina tā </w:t>
      </w:r>
      <w:r w:rsidR="00603738">
        <w:t>P</w:t>
      </w:r>
      <w:r>
        <w:t>use, kas saskata grozījumu nepieciešamību, iesniedzot grozījumu ierosinājuma pamatojumu.</w:t>
      </w:r>
    </w:p>
    <w:p w14:paraId="15410507" w14:textId="6B53A9E1" w:rsidR="00A901B4" w:rsidRDefault="00A901B4" w:rsidP="00A901B4">
      <w:pPr>
        <w:numPr>
          <w:ilvl w:val="1"/>
          <w:numId w:val="1"/>
        </w:numPr>
        <w:ind w:left="567" w:hanging="567"/>
        <w:jc w:val="both"/>
      </w:pPr>
      <w:r>
        <w:t xml:space="preserve">Līguma grozījumi izdarāmi rakstveidā, tos paraksta abas </w:t>
      </w:r>
      <w:r w:rsidR="00603738">
        <w:t>P</w:t>
      </w:r>
      <w:r>
        <w:t xml:space="preserve">uses un tie ir </w:t>
      </w:r>
      <w:r w:rsidR="0007559C">
        <w:t>L</w:t>
      </w:r>
      <w:r>
        <w:t>īguma neatņemama sastāvdaļa.</w:t>
      </w:r>
    </w:p>
    <w:p w14:paraId="7A6AA685" w14:textId="77777777" w:rsidR="00A901B4" w:rsidRDefault="00A901B4" w:rsidP="00A901B4">
      <w:pPr>
        <w:numPr>
          <w:ilvl w:val="1"/>
          <w:numId w:val="1"/>
        </w:numPr>
        <w:ind w:left="567" w:hanging="567"/>
        <w:jc w:val="both"/>
      </w:pPr>
      <w:r>
        <w:t xml:space="preserve">Izpildītājs ir tiesīgs saņemt </w:t>
      </w:r>
      <w:r w:rsidR="00CB0D01">
        <w:t xml:space="preserve">Būvprojekta </w:t>
      </w:r>
      <w:r>
        <w:t>izpildes laika pagarinājumu, ja:</w:t>
      </w:r>
    </w:p>
    <w:p w14:paraId="6883395F" w14:textId="1AC412C7" w:rsidR="00A901B4" w:rsidRDefault="00A901B4" w:rsidP="00A901B4">
      <w:pPr>
        <w:numPr>
          <w:ilvl w:val="2"/>
          <w:numId w:val="1"/>
        </w:numPr>
        <w:ind w:left="1276" w:hanging="709"/>
        <w:jc w:val="both"/>
      </w:pPr>
      <w:r>
        <w:t xml:space="preserve">Pasūtītājs kavē vai aptur </w:t>
      </w:r>
      <w:r w:rsidR="00CB0D01">
        <w:t>Būvprojekta</w:t>
      </w:r>
      <w:r>
        <w:t xml:space="preserve"> veikšanu no Izpildītāja neatkarīgu iemeslu dēļ;</w:t>
      </w:r>
    </w:p>
    <w:p w14:paraId="0D3CD180" w14:textId="1D69B378" w:rsidR="00A901B4" w:rsidRDefault="00CB0D01" w:rsidP="00A901B4">
      <w:pPr>
        <w:numPr>
          <w:ilvl w:val="2"/>
          <w:numId w:val="1"/>
        </w:numPr>
        <w:ind w:left="1276" w:hanging="709"/>
        <w:jc w:val="both"/>
      </w:pPr>
      <w:r>
        <w:t>Būvprojekta</w:t>
      </w:r>
      <w:r w:rsidR="00A901B4">
        <w:t xml:space="preserve"> veikšanu kavē būtiski</w:t>
      </w:r>
      <w:r w:rsidR="00E029DC" w:rsidRPr="00E029DC">
        <w:t xml:space="preserve"> </w:t>
      </w:r>
      <w:r w:rsidR="00E029DC">
        <w:t>Līguma pielikum</w:t>
      </w:r>
      <w:r w:rsidR="00E029DC">
        <w:t>ā</w:t>
      </w:r>
      <w:r w:rsidR="00E029DC">
        <w:t xml:space="preserve"> Nr.3 un Līguma pielikum</w:t>
      </w:r>
      <w:r w:rsidR="00E029DC">
        <w:t>ā</w:t>
      </w:r>
      <w:r w:rsidR="00E029DC">
        <w:t xml:space="preserve"> Nr.4 “Projektēšanas uzdevums” </w:t>
      </w:r>
      <w:r w:rsidR="00A901B4">
        <w:t xml:space="preserve"> grozījumi, kas nav Izpildītāja izraisīti; </w:t>
      </w:r>
    </w:p>
    <w:p w14:paraId="78DB350E" w14:textId="204B81B9" w:rsidR="00A901B4" w:rsidRDefault="00A901B4" w:rsidP="00C11C11">
      <w:pPr>
        <w:numPr>
          <w:ilvl w:val="2"/>
          <w:numId w:val="1"/>
        </w:numPr>
        <w:ind w:left="1276" w:hanging="709"/>
        <w:jc w:val="both"/>
      </w:pPr>
      <w:r>
        <w:t>ieinteresētās institūcijas, ja tādas ir minētas</w:t>
      </w:r>
      <w:r w:rsidR="00E029DC" w:rsidRPr="00E029DC">
        <w:t xml:space="preserve"> </w:t>
      </w:r>
      <w:r w:rsidR="00E029DC">
        <w:t>Līguma pielikum</w:t>
      </w:r>
      <w:r w:rsidR="00E029DC">
        <w:t>ā</w:t>
      </w:r>
      <w:r w:rsidR="00E029DC">
        <w:t xml:space="preserve"> Nr.3 un Līguma pielikum</w:t>
      </w:r>
      <w:r w:rsidR="00E029DC">
        <w:t>ā</w:t>
      </w:r>
      <w:r w:rsidR="00E029DC">
        <w:t xml:space="preserve"> Nr.4 “Projektēšanas uzdevums”</w:t>
      </w:r>
      <w:r>
        <w:t>, kavē Izpildītāja pieprasīto</w:t>
      </w:r>
      <w:r w:rsidR="004A0058">
        <w:t xml:space="preserve"> tehnisko noteikumu izsniegšanu, vai projekta saskaņošanu.</w:t>
      </w:r>
    </w:p>
    <w:p w14:paraId="0C8F654E" w14:textId="726E8107" w:rsidR="00A901B4" w:rsidRDefault="00A901B4" w:rsidP="00A901B4">
      <w:pPr>
        <w:pStyle w:val="Sarakstarindkopa"/>
        <w:numPr>
          <w:ilvl w:val="0"/>
          <w:numId w:val="1"/>
        </w:numPr>
        <w:rPr>
          <w:b/>
        </w:rPr>
      </w:pPr>
      <w:bookmarkStart w:id="8" w:name="_Toc337802630"/>
      <w:r>
        <w:rPr>
          <w:b/>
        </w:rPr>
        <w:t>Līguma darbības izbeigšana</w:t>
      </w:r>
      <w:bookmarkEnd w:id="8"/>
    </w:p>
    <w:p w14:paraId="742E27B1" w14:textId="27D15056" w:rsidR="00A901B4" w:rsidRDefault="00A901B4" w:rsidP="00A901B4">
      <w:pPr>
        <w:numPr>
          <w:ilvl w:val="1"/>
          <w:numId w:val="1"/>
        </w:numPr>
        <w:ind w:left="567" w:hanging="567"/>
        <w:jc w:val="both"/>
      </w:pPr>
      <w:r>
        <w:t xml:space="preserve">Pasūtītājam ir tiesības vienpusēji atkāpties no </w:t>
      </w:r>
      <w:r w:rsidR="0007559C">
        <w:t>L</w:t>
      </w:r>
      <w:r>
        <w:t>īguma ja:</w:t>
      </w:r>
    </w:p>
    <w:p w14:paraId="29B5A0A5" w14:textId="18DC172B" w:rsidR="00A901B4" w:rsidRDefault="0007559C" w:rsidP="00A901B4">
      <w:pPr>
        <w:numPr>
          <w:ilvl w:val="2"/>
          <w:numId w:val="1"/>
        </w:numPr>
        <w:ind w:left="1276"/>
        <w:jc w:val="both"/>
      </w:pPr>
      <w:r>
        <w:t>L</w:t>
      </w:r>
      <w:r w:rsidR="00A901B4">
        <w:t>īgumā paredzēt</w:t>
      </w:r>
      <w:r w:rsidR="00470AC0">
        <w:t>ā</w:t>
      </w:r>
      <w:r w:rsidR="00A901B4">
        <w:t xml:space="preserve"> </w:t>
      </w:r>
      <w:r w:rsidR="00CB0D01">
        <w:t>Būvprojekta</w:t>
      </w:r>
      <w:r w:rsidR="00A901B4">
        <w:t xml:space="preserve"> dokumentācija šajā </w:t>
      </w:r>
      <w:r>
        <w:t>L</w:t>
      </w:r>
      <w:r w:rsidR="00A901B4">
        <w:t xml:space="preserve">īgumā noteiktajā apjomā netiek iesniegta </w:t>
      </w:r>
      <w:r w:rsidR="0058587A">
        <w:t>100</w:t>
      </w:r>
      <w:r w:rsidR="00A901B4">
        <w:t xml:space="preserve"> (</w:t>
      </w:r>
      <w:r w:rsidR="00ED25E3">
        <w:t>s</w:t>
      </w:r>
      <w:r w:rsidR="0058587A">
        <w:t>imts</w:t>
      </w:r>
      <w:r w:rsidR="00A901B4">
        <w:t>) dienu laikā pēc noteiktā iesniegšanas termiņa, vai arī, ja Pasūtītāja noteiktajā termiņā Izpildītājs nav izlabojis kļūdas un trūkumus;</w:t>
      </w:r>
    </w:p>
    <w:p w14:paraId="37E0B0C9" w14:textId="76EF66D9" w:rsidR="00A901B4" w:rsidRDefault="00A901B4" w:rsidP="00A901B4">
      <w:pPr>
        <w:numPr>
          <w:ilvl w:val="2"/>
          <w:numId w:val="1"/>
        </w:numPr>
        <w:ind w:left="1276"/>
        <w:jc w:val="both"/>
      </w:pPr>
      <w:r>
        <w:t xml:space="preserve">ir pasludināts Izpildītāja maksātnespējas process, apturēta vai pārtraukta tā saimnieciskā darbība, uzsākta tiesvedība par Izpildītāja bankrotu vai tiek konstatēts, ka līdz </w:t>
      </w:r>
      <w:r w:rsidR="0007559C">
        <w:t>L</w:t>
      </w:r>
      <w:r>
        <w:t>īguma izpildes beigu termiņam Izpildītājs būs likvidēts;</w:t>
      </w:r>
    </w:p>
    <w:p w14:paraId="41EAD680" w14:textId="04E8936E" w:rsidR="00A901B4" w:rsidRDefault="00A901B4" w:rsidP="00A901B4">
      <w:pPr>
        <w:numPr>
          <w:ilvl w:val="2"/>
          <w:numId w:val="1"/>
        </w:numPr>
        <w:ind w:left="1276"/>
        <w:jc w:val="both"/>
      </w:pPr>
      <w:r>
        <w:t xml:space="preserve">Izpildītājs </w:t>
      </w:r>
      <w:r w:rsidR="0007559C">
        <w:t>L</w:t>
      </w:r>
      <w:r>
        <w:t>īgumā noteikta</w:t>
      </w:r>
      <w:r w:rsidR="00A317D9">
        <w:t xml:space="preserve">jos termiņos neiesniedz </w:t>
      </w:r>
      <w:r w:rsidR="00603738">
        <w:t>L</w:t>
      </w:r>
      <w:r w:rsidR="00A317D9">
        <w:t xml:space="preserve">īguma </w:t>
      </w:r>
      <w:r w:rsidR="00470AC0">
        <w:t>7</w:t>
      </w:r>
      <w:r>
        <w:t xml:space="preserve">. nodaļā minēto apdrošināšanas līgumu; </w:t>
      </w:r>
    </w:p>
    <w:p w14:paraId="6933D147" w14:textId="63BF18E9" w:rsidR="00A901B4" w:rsidRDefault="00A901B4" w:rsidP="00A901B4">
      <w:pPr>
        <w:numPr>
          <w:ilvl w:val="2"/>
          <w:numId w:val="1"/>
        </w:numPr>
        <w:ind w:left="1276"/>
        <w:jc w:val="both"/>
      </w:pPr>
      <w:r>
        <w:t xml:space="preserve">Izpildītājs neveic Personāla nomaiņu </w:t>
      </w:r>
      <w:r w:rsidR="0007559C">
        <w:t>L</w:t>
      </w:r>
      <w:r>
        <w:t xml:space="preserve">īguma 5.1., 5.2. punktā paredzētajā kārtībā un 10 (desmit) darbdienu laikā no Pasūtītāja brīdinājuma saņemšanas nav novērsis šo </w:t>
      </w:r>
      <w:r w:rsidR="0007559C">
        <w:t>L</w:t>
      </w:r>
      <w:r>
        <w:t>īguma pārkāpumu.</w:t>
      </w:r>
    </w:p>
    <w:p w14:paraId="03F07666" w14:textId="56A6E37B" w:rsidR="00A901B4" w:rsidRDefault="00A901B4" w:rsidP="00A901B4">
      <w:pPr>
        <w:numPr>
          <w:ilvl w:val="1"/>
          <w:numId w:val="1"/>
        </w:numPr>
        <w:ind w:left="567" w:hanging="567"/>
        <w:jc w:val="both"/>
      </w:pPr>
      <w:r>
        <w:t>Līguma darbība tiek izbeigta, ja turpmāku</w:t>
      </w:r>
      <w:r w:rsidR="0007559C">
        <w:t xml:space="preserve"> L</w:t>
      </w:r>
      <w:r>
        <w:t>īguma izpildi padara neiespējamu vai apgrūtina nepārvarama vara.</w:t>
      </w:r>
    </w:p>
    <w:p w14:paraId="465ED0E7" w14:textId="4F6424E7" w:rsidR="00A901B4" w:rsidRDefault="00A901B4" w:rsidP="008B73D2">
      <w:pPr>
        <w:numPr>
          <w:ilvl w:val="1"/>
          <w:numId w:val="1"/>
        </w:numPr>
        <w:ind w:left="567" w:hanging="567"/>
        <w:jc w:val="both"/>
      </w:pPr>
      <w:r>
        <w:t xml:space="preserve">Abpusēji rakstiski vienojoties, </w:t>
      </w:r>
      <w:r w:rsidR="00603738">
        <w:t>P</w:t>
      </w:r>
      <w:r>
        <w:t xml:space="preserve">uses var izbeigt </w:t>
      </w:r>
      <w:r w:rsidR="0007559C">
        <w:t>L</w:t>
      </w:r>
      <w:r>
        <w:t>īgumu kāda cita iemesla dēļ.</w:t>
      </w:r>
    </w:p>
    <w:p w14:paraId="77F10187" w14:textId="10A4EC87" w:rsidR="00811AF1" w:rsidRPr="00811AF1" w:rsidRDefault="00A901B4" w:rsidP="00811AF1">
      <w:pPr>
        <w:pStyle w:val="Sarakstarindkopa"/>
        <w:numPr>
          <w:ilvl w:val="0"/>
          <w:numId w:val="1"/>
        </w:numPr>
        <w:rPr>
          <w:b/>
        </w:rPr>
      </w:pPr>
      <w:bookmarkStart w:id="9" w:name="_Toc337802632"/>
      <w:r>
        <w:rPr>
          <w:b/>
        </w:rPr>
        <w:t>Nepārvarama vara</w:t>
      </w:r>
      <w:bookmarkEnd w:id="9"/>
    </w:p>
    <w:p w14:paraId="78669FE3" w14:textId="5F67D27E" w:rsidR="00A901B4" w:rsidRDefault="00A901B4" w:rsidP="00A901B4">
      <w:pPr>
        <w:numPr>
          <w:ilvl w:val="1"/>
          <w:numId w:val="1"/>
        </w:numPr>
        <w:ind w:left="567" w:hanging="567"/>
        <w:jc w:val="both"/>
      </w:pPr>
      <w:r>
        <w:t xml:space="preserve">Puses ir atbrīvotas no atbildības par </w:t>
      </w:r>
      <w:r w:rsidR="00603738">
        <w:t>L</w:t>
      </w:r>
      <w:r>
        <w:t xml:space="preserve">īguma pilnīgu vai daļēju neizpildi, ja šāda neizpilde radusies nepārvaramas varas vai ārkārtēja rakstura apstākļu rezultātā, kuru darbība sākusies pēc </w:t>
      </w:r>
      <w:r w:rsidR="00603738">
        <w:t>L</w:t>
      </w:r>
      <w:r>
        <w:t xml:space="preserve">īguma noslēgšanas un kurus nevarēja iepriekš ne paredzēt, ne novērst. Pie nepārvaramas varas vai ārkārtēja rakstura apstākļiem pieskaitāmi: stihiskas nelaimes, t.sk., dabas katastrofas, citas katastrofas un avārijas, epidēmijas, karadarbība, streiki, iekšējie </w:t>
      </w:r>
      <w:r>
        <w:lastRenderedPageBreak/>
        <w:t xml:space="preserve">nemieri, blokādes, kā arī tāda ārējo normatīvo aktu pieņemšana, kas liedz abām vai vienai </w:t>
      </w:r>
      <w:r w:rsidR="00603738">
        <w:t>P</w:t>
      </w:r>
      <w:r>
        <w:t xml:space="preserve">usei turpināt līgumsaistību izpildi, un citi apstākļi, kas neiekļaujas </w:t>
      </w:r>
      <w:r w:rsidR="00603738">
        <w:t>P</w:t>
      </w:r>
      <w:r>
        <w:t xml:space="preserve">ušu iespējamās kontroles robežās. </w:t>
      </w:r>
    </w:p>
    <w:p w14:paraId="29539610" w14:textId="3CC1D6C7" w:rsidR="00D325EE" w:rsidRDefault="00A901B4" w:rsidP="00E029DC">
      <w:pPr>
        <w:pStyle w:val="Sarakstarindkopa"/>
        <w:numPr>
          <w:ilvl w:val="1"/>
          <w:numId w:val="1"/>
        </w:numPr>
        <w:ind w:left="567" w:hanging="567"/>
        <w:jc w:val="both"/>
      </w:pPr>
      <w:r>
        <w:t xml:space="preserve">Pusei, kura atsaucas uz nepārvaramas varas vai ārkārtēja rakstura apstākļu darbību, nekavējoties, bet ne vēlāk kā 5 (piecu) dienu laikā, par šādiem apstākļiem rakstveidā jāziņo otrai </w:t>
      </w:r>
      <w:r w:rsidR="00603738">
        <w:t>P</w:t>
      </w:r>
      <w:r>
        <w:t xml:space="preserve">usei. Ziņojumā jānorāda, kādā termiņā pēc viņa ieskata ir iespējama un paredzama viņa līgumsaistību izpilde, un pēc otras </w:t>
      </w:r>
      <w:r w:rsidR="00603738">
        <w:t>P</w:t>
      </w:r>
      <w:r>
        <w:t xml:space="preserve">uses pieprasījuma jāiesniedz kompetentas institūcijas izsniegta izziņa, kas satur nepārvaramas varas vai ārkārtējo apstākļu darbības apstiprinājumu un to raksturojumu. Ja </w:t>
      </w:r>
      <w:r w:rsidR="00603738">
        <w:t>L</w:t>
      </w:r>
      <w:r>
        <w:t xml:space="preserve">īguma turpmāka izpilde nav iespējama, </w:t>
      </w:r>
      <w:r w:rsidR="00603738">
        <w:t>P</w:t>
      </w:r>
      <w:r>
        <w:t xml:space="preserve">uses sastāda Darba nodošanas – pieņemšanas aktu un Izpildītājs saņem samaksu par visu līdz tam kvalitatīvi paveikto </w:t>
      </w:r>
      <w:r w:rsidR="00572D2F">
        <w:t>Darbu</w:t>
      </w:r>
      <w:r w:rsidR="00CB0D01">
        <w:t xml:space="preserve"> </w:t>
      </w:r>
      <w:r>
        <w:t xml:space="preserve">daļu. Ja nepārvaramas varas apstākļi turpinās ilgāk par 1 (vienu) kalendāro mēnesi un </w:t>
      </w:r>
      <w:r w:rsidR="00603738">
        <w:t>P</w:t>
      </w:r>
      <w:r>
        <w:t xml:space="preserve">uses nespēj vienoties par turpmāku </w:t>
      </w:r>
      <w:r w:rsidR="00603738">
        <w:t>L</w:t>
      </w:r>
      <w:r>
        <w:t xml:space="preserve">īguma izpildi, jebkurai no </w:t>
      </w:r>
      <w:r w:rsidR="00603738">
        <w:t>P</w:t>
      </w:r>
      <w:r>
        <w:t xml:space="preserve">usēm ir tiesības vienpusēji atkāpties no turpmākas </w:t>
      </w:r>
      <w:r w:rsidR="00603738">
        <w:t>L</w:t>
      </w:r>
      <w:r>
        <w:t xml:space="preserve">īguma izpildes, iesniedzot par to rakstisku paziņojumu otrai </w:t>
      </w:r>
      <w:r w:rsidR="00603738">
        <w:t>P</w:t>
      </w:r>
      <w:r>
        <w:t>usei.</w:t>
      </w:r>
    </w:p>
    <w:p w14:paraId="2930D77F" w14:textId="671B3024" w:rsidR="00A901B4" w:rsidRDefault="00A901B4" w:rsidP="00A901B4">
      <w:pPr>
        <w:pStyle w:val="Sarakstarindkopa"/>
        <w:numPr>
          <w:ilvl w:val="0"/>
          <w:numId w:val="1"/>
        </w:numPr>
        <w:rPr>
          <w:b/>
        </w:rPr>
      </w:pPr>
      <w:bookmarkStart w:id="10" w:name="_Toc337802633"/>
      <w:r>
        <w:rPr>
          <w:b/>
        </w:rPr>
        <w:t>Strīdu risināšana</w:t>
      </w:r>
      <w:bookmarkEnd w:id="10"/>
    </w:p>
    <w:p w14:paraId="7B614C9E" w14:textId="656D8D98" w:rsidR="00A901B4" w:rsidRDefault="00A901B4" w:rsidP="00A901B4">
      <w:pPr>
        <w:ind w:left="792"/>
        <w:jc w:val="both"/>
      </w:pPr>
      <w:r>
        <w:t xml:space="preserve">16.1. Strīdus risina sarunu ceļā, bet, ja </w:t>
      </w:r>
      <w:r w:rsidR="00603738">
        <w:t>P</w:t>
      </w:r>
      <w:r>
        <w:t>uses 30 (trīsdesmit)</w:t>
      </w:r>
      <w:r w:rsidR="00603738">
        <w:t xml:space="preserve"> kalendāro</w:t>
      </w:r>
      <w:r>
        <w:t xml:space="preserve"> dienu laikā nepanāk vienošanos, tad strīdus izskata Latvijas Republikas tiesā saskaņā ar Latvijas Republikas normatīvajiem aktiem.</w:t>
      </w:r>
    </w:p>
    <w:p w14:paraId="5EC53A9D" w14:textId="3AA74751" w:rsidR="00A901B4" w:rsidRDefault="00A901B4" w:rsidP="00A901B4">
      <w:pPr>
        <w:pStyle w:val="Sarakstarindkopa"/>
        <w:numPr>
          <w:ilvl w:val="0"/>
          <w:numId w:val="1"/>
        </w:numPr>
        <w:rPr>
          <w:b/>
        </w:rPr>
      </w:pPr>
      <w:bookmarkStart w:id="11" w:name="_Toc337802634"/>
      <w:r>
        <w:rPr>
          <w:b/>
        </w:rPr>
        <w:t>Papildus noteikumi</w:t>
      </w:r>
      <w:bookmarkEnd w:id="11"/>
    </w:p>
    <w:p w14:paraId="4F66848E" w14:textId="5976DBAB" w:rsidR="00A901B4" w:rsidRDefault="00A901B4" w:rsidP="00A901B4">
      <w:pPr>
        <w:numPr>
          <w:ilvl w:val="1"/>
          <w:numId w:val="1"/>
        </w:numPr>
        <w:ind w:left="567" w:hanging="567"/>
        <w:jc w:val="both"/>
      </w:pPr>
      <w:r>
        <w:t xml:space="preserve">Līgumam ir pievienoti zemāk uzskaitītie dokumenti, kas ir </w:t>
      </w:r>
      <w:r w:rsidR="00603738">
        <w:t>L</w:t>
      </w:r>
      <w:r>
        <w:t>īguma pielikumi un neatņemama sastāvdaļa:</w:t>
      </w:r>
    </w:p>
    <w:tbl>
      <w:tblPr>
        <w:tblW w:w="8415" w:type="dxa"/>
        <w:tblInd w:w="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15"/>
      </w:tblGrid>
      <w:tr w:rsidR="00A901B4" w14:paraId="0E1DBCF3" w14:textId="77777777" w:rsidTr="004A0058">
        <w:trPr>
          <w:trHeight w:val="284"/>
        </w:trPr>
        <w:tc>
          <w:tcPr>
            <w:tcW w:w="8415" w:type="dxa"/>
            <w:tcBorders>
              <w:top w:val="nil"/>
              <w:left w:val="nil"/>
              <w:bottom w:val="nil"/>
              <w:right w:val="nil"/>
            </w:tcBorders>
            <w:hideMark/>
          </w:tcPr>
          <w:p w14:paraId="2AF82E87" w14:textId="6FE3B40A" w:rsidR="00A901B4" w:rsidRDefault="00572D2F">
            <w:r>
              <w:t xml:space="preserve">Līguma </w:t>
            </w:r>
            <w:r w:rsidR="00A901B4">
              <w:t>pielikums</w:t>
            </w:r>
            <w:r>
              <w:t xml:space="preserve"> Nr.1</w:t>
            </w:r>
            <w:r w:rsidR="00A901B4">
              <w:t xml:space="preserve"> </w:t>
            </w:r>
            <w:r w:rsidR="002D7B0D">
              <w:t>“Pieteikums</w:t>
            </w:r>
            <w:r>
              <w:t xml:space="preserve">”. </w:t>
            </w:r>
          </w:p>
        </w:tc>
      </w:tr>
      <w:tr w:rsidR="00A901B4" w14:paraId="1376C2A9" w14:textId="77777777" w:rsidTr="004A0058">
        <w:trPr>
          <w:trHeight w:val="284"/>
        </w:trPr>
        <w:tc>
          <w:tcPr>
            <w:tcW w:w="8415" w:type="dxa"/>
            <w:tcBorders>
              <w:top w:val="nil"/>
              <w:left w:val="nil"/>
              <w:bottom w:val="nil"/>
              <w:right w:val="nil"/>
            </w:tcBorders>
            <w:hideMark/>
          </w:tcPr>
          <w:p w14:paraId="25E669D4" w14:textId="7F38971E" w:rsidR="00A901B4" w:rsidRDefault="00572D2F">
            <w:r>
              <w:t>Līguma pielikumu Nr.</w:t>
            </w:r>
            <w:r w:rsidR="002D7B0D">
              <w:t>3</w:t>
            </w:r>
            <w:r>
              <w:t xml:space="preserve"> “</w:t>
            </w:r>
            <w:r w:rsidR="002D7B0D">
              <w:t>Projektēšanas uzdevums</w:t>
            </w:r>
            <w:r>
              <w:t>”.</w:t>
            </w:r>
          </w:p>
        </w:tc>
      </w:tr>
      <w:tr w:rsidR="00572D2F" w14:paraId="3A365D0C" w14:textId="77777777" w:rsidTr="004A0058">
        <w:trPr>
          <w:trHeight w:val="284"/>
        </w:trPr>
        <w:tc>
          <w:tcPr>
            <w:tcW w:w="8415" w:type="dxa"/>
            <w:tcBorders>
              <w:top w:val="nil"/>
              <w:left w:val="nil"/>
              <w:bottom w:val="nil"/>
              <w:right w:val="nil"/>
            </w:tcBorders>
          </w:tcPr>
          <w:p w14:paraId="0C33CC6E" w14:textId="65F3112F" w:rsidR="00572D2F" w:rsidRDefault="00572D2F">
            <w:r>
              <w:t>Līguma pielikumu Nr.</w:t>
            </w:r>
            <w:r w:rsidR="002D7B0D">
              <w:t>4</w:t>
            </w:r>
            <w:r>
              <w:t xml:space="preserve"> “</w:t>
            </w:r>
            <w:r w:rsidR="002D7B0D">
              <w:t>Projektēšanas uzdevums</w:t>
            </w:r>
            <w:r>
              <w:t>”.</w:t>
            </w:r>
          </w:p>
        </w:tc>
      </w:tr>
    </w:tbl>
    <w:p w14:paraId="4E167C4D" w14:textId="1DEBA0B4" w:rsidR="00A901B4" w:rsidRDefault="00A901B4" w:rsidP="00A901B4">
      <w:pPr>
        <w:numPr>
          <w:ilvl w:val="1"/>
          <w:numId w:val="1"/>
        </w:numPr>
        <w:ind w:hanging="567"/>
        <w:jc w:val="both"/>
      </w:pPr>
      <w:r>
        <w:t xml:space="preserve">Līgums noslēgts 2 (divos) eksemplāros latviešu valodā, pa vienam līguma </w:t>
      </w:r>
      <w:r w:rsidRPr="004A0058">
        <w:t>eksemplāram uz</w:t>
      </w:r>
      <w:r w:rsidR="004A0058" w:rsidRPr="004A0058">
        <w:t xml:space="preserve"> </w:t>
      </w:r>
      <w:r w:rsidR="00E029DC">
        <w:t>4</w:t>
      </w:r>
      <w:r w:rsidR="00AF3D8C">
        <w:t xml:space="preserve"> (</w:t>
      </w:r>
      <w:r w:rsidR="00E029DC">
        <w:t>četr</w:t>
      </w:r>
      <w:r w:rsidR="00A61E1A">
        <w:t>ām</w:t>
      </w:r>
      <w:r w:rsidR="00AF3D8C">
        <w:t>)</w:t>
      </w:r>
      <w:r w:rsidRPr="004A0058">
        <w:t xml:space="preserve"> lapām ar </w:t>
      </w:r>
      <w:r w:rsidR="00572D2F">
        <w:t>3</w:t>
      </w:r>
      <w:r w:rsidRPr="004A0058">
        <w:t xml:space="preserve"> (</w:t>
      </w:r>
      <w:r w:rsidR="00572D2F">
        <w:t>trīs</w:t>
      </w:r>
      <w:r w:rsidRPr="004A0058">
        <w:t xml:space="preserve">) pielikumiem uz </w:t>
      </w:r>
      <w:r w:rsidR="00C0460D" w:rsidRPr="00C0460D">
        <w:t>3</w:t>
      </w:r>
      <w:r w:rsidR="008534ED">
        <w:t xml:space="preserve"> lapām.</w:t>
      </w:r>
      <w:bookmarkStart w:id="12" w:name="_GoBack"/>
      <w:bookmarkEnd w:id="12"/>
    </w:p>
    <w:p w14:paraId="4FAB6492" w14:textId="39B5DA04" w:rsidR="00A901B4" w:rsidRDefault="00A901B4" w:rsidP="00A901B4">
      <w:pPr>
        <w:pStyle w:val="Sarakstarindkopa"/>
        <w:numPr>
          <w:ilvl w:val="0"/>
          <w:numId w:val="1"/>
        </w:numPr>
        <w:rPr>
          <w:b/>
        </w:rPr>
      </w:pPr>
      <w:bookmarkStart w:id="13" w:name="_Toc337802635"/>
      <w:r>
        <w:rPr>
          <w:b/>
        </w:rPr>
        <w:t>Pušu rekvizīti</w:t>
      </w:r>
      <w:bookmarkEnd w:id="13"/>
    </w:p>
    <w:tbl>
      <w:tblPr>
        <w:tblW w:w="0" w:type="auto"/>
        <w:tblInd w:w="108" w:type="dxa"/>
        <w:tblLayout w:type="fixed"/>
        <w:tblLook w:val="04A0" w:firstRow="1" w:lastRow="0" w:firstColumn="1" w:lastColumn="0" w:noHBand="0" w:noVBand="1"/>
      </w:tblPr>
      <w:tblGrid>
        <w:gridCol w:w="2160"/>
        <w:gridCol w:w="3386"/>
        <w:gridCol w:w="3544"/>
      </w:tblGrid>
      <w:tr w:rsidR="00A901B4" w14:paraId="250BF609" w14:textId="77777777">
        <w:trPr>
          <w:trHeight w:val="113"/>
        </w:trPr>
        <w:tc>
          <w:tcPr>
            <w:tcW w:w="2160" w:type="dxa"/>
          </w:tcPr>
          <w:p w14:paraId="7D3E23A1" w14:textId="77777777" w:rsidR="00A901B4" w:rsidRDefault="00A901B4">
            <w:pPr>
              <w:rPr>
                <w:sz w:val="12"/>
              </w:rPr>
            </w:pPr>
          </w:p>
        </w:tc>
        <w:tc>
          <w:tcPr>
            <w:tcW w:w="3386" w:type="dxa"/>
            <w:tcBorders>
              <w:top w:val="nil"/>
              <w:left w:val="nil"/>
              <w:bottom w:val="single" w:sz="4" w:space="0" w:color="auto"/>
              <w:right w:val="nil"/>
            </w:tcBorders>
            <w:hideMark/>
          </w:tcPr>
          <w:p w14:paraId="53E9DB96" w14:textId="77777777" w:rsidR="00A901B4" w:rsidRDefault="00A901B4">
            <w:pPr>
              <w:rPr>
                <w:b/>
              </w:rPr>
            </w:pPr>
            <w:r>
              <w:rPr>
                <w:b/>
              </w:rPr>
              <w:t>Pasūtītājs</w:t>
            </w:r>
          </w:p>
        </w:tc>
        <w:tc>
          <w:tcPr>
            <w:tcW w:w="3544" w:type="dxa"/>
            <w:tcBorders>
              <w:top w:val="nil"/>
              <w:left w:val="nil"/>
              <w:bottom w:val="single" w:sz="4" w:space="0" w:color="auto"/>
              <w:right w:val="nil"/>
            </w:tcBorders>
            <w:hideMark/>
          </w:tcPr>
          <w:p w14:paraId="4D99EC52" w14:textId="77777777" w:rsidR="00A901B4" w:rsidRDefault="00A901B4">
            <w:pPr>
              <w:rPr>
                <w:b/>
              </w:rPr>
            </w:pPr>
            <w:r>
              <w:rPr>
                <w:b/>
              </w:rPr>
              <w:t>Izpildītājs</w:t>
            </w:r>
          </w:p>
        </w:tc>
      </w:tr>
      <w:tr w:rsidR="00A901B4" w14:paraId="407B338B" w14:textId="77777777">
        <w:trPr>
          <w:trHeight w:val="113"/>
        </w:trPr>
        <w:tc>
          <w:tcPr>
            <w:tcW w:w="2160" w:type="dxa"/>
            <w:tcBorders>
              <w:top w:val="nil"/>
              <w:left w:val="nil"/>
              <w:bottom w:val="single" w:sz="4" w:space="0" w:color="auto"/>
              <w:right w:val="single" w:sz="4" w:space="0" w:color="auto"/>
            </w:tcBorders>
          </w:tcPr>
          <w:p w14:paraId="56EA6E7E" w14:textId="77777777" w:rsidR="00A901B4" w:rsidRDefault="00A901B4">
            <w:pPr>
              <w:spacing w:line="113" w:lineRule="atLeast"/>
            </w:pPr>
          </w:p>
        </w:tc>
        <w:tc>
          <w:tcPr>
            <w:tcW w:w="3386" w:type="dxa"/>
            <w:tcBorders>
              <w:top w:val="single" w:sz="4" w:space="0" w:color="auto"/>
              <w:left w:val="single" w:sz="4" w:space="0" w:color="auto"/>
              <w:bottom w:val="single" w:sz="4" w:space="0" w:color="auto"/>
              <w:right w:val="single" w:sz="4" w:space="0" w:color="auto"/>
            </w:tcBorders>
            <w:hideMark/>
          </w:tcPr>
          <w:p w14:paraId="7A9DAC97" w14:textId="0969D539" w:rsidR="00A901B4" w:rsidRDefault="00ED25E3">
            <w:pPr>
              <w:rPr>
                <w:b/>
              </w:rPr>
            </w:pPr>
            <w:r>
              <w:rPr>
                <w:b/>
              </w:rPr>
              <w:t>SIA “</w:t>
            </w:r>
            <w:r w:rsidR="00A57047">
              <w:rPr>
                <w:b/>
              </w:rPr>
              <w:t xml:space="preserve">Limbažu </w:t>
            </w:r>
            <w:r w:rsidR="00572D2F">
              <w:rPr>
                <w:b/>
              </w:rPr>
              <w:t>s</w:t>
            </w:r>
            <w:r w:rsidR="00A57047">
              <w:rPr>
                <w:b/>
              </w:rPr>
              <w:t>iltums</w:t>
            </w:r>
            <w:r>
              <w:rPr>
                <w:b/>
              </w:rPr>
              <w:t>”</w:t>
            </w:r>
          </w:p>
        </w:tc>
        <w:tc>
          <w:tcPr>
            <w:tcW w:w="3544" w:type="dxa"/>
            <w:tcBorders>
              <w:top w:val="single" w:sz="4" w:space="0" w:color="auto"/>
              <w:left w:val="single" w:sz="4" w:space="0" w:color="auto"/>
              <w:bottom w:val="single" w:sz="4" w:space="0" w:color="auto"/>
              <w:right w:val="single" w:sz="4" w:space="0" w:color="auto"/>
            </w:tcBorders>
          </w:tcPr>
          <w:p w14:paraId="0DF30E60" w14:textId="20026F1D" w:rsidR="00A901B4" w:rsidRDefault="00A901B4">
            <w:pPr>
              <w:rPr>
                <w:sz w:val="12"/>
              </w:rPr>
            </w:pPr>
          </w:p>
        </w:tc>
      </w:tr>
      <w:tr w:rsidR="00A901B4" w14:paraId="784C7D98" w14:textId="77777777">
        <w:trPr>
          <w:trHeight w:val="113"/>
        </w:trPr>
        <w:tc>
          <w:tcPr>
            <w:tcW w:w="2160" w:type="dxa"/>
            <w:tcBorders>
              <w:top w:val="single" w:sz="4" w:space="0" w:color="auto"/>
              <w:left w:val="single" w:sz="4" w:space="0" w:color="auto"/>
              <w:bottom w:val="single" w:sz="4" w:space="0" w:color="auto"/>
              <w:right w:val="single" w:sz="4" w:space="0" w:color="auto"/>
            </w:tcBorders>
            <w:hideMark/>
          </w:tcPr>
          <w:p w14:paraId="51753DF3" w14:textId="77777777" w:rsidR="00A901B4" w:rsidRDefault="00A901B4">
            <w:r>
              <w:t>Reģistrācijas Nr.</w:t>
            </w:r>
          </w:p>
        </w:tc>
        <w:tc>
          <w:tcPr>
            <w:tcW w:w="3386" w:type="dxa"/>
            <w:tcBorders>
              <w:top w:val="single" w:sz="4" w:space="0" w:color="auto"/>
              <w:left w:val="single" w:sz="4" w:space="0" w:color="auto"/>
              <w:bottom w:val="single" w:sz="4" w:space="0" w:color="auto"/>
              <w:right w:val="single" w:sz="4" w:space="0" w:color="auto"/>
            </w:tcBorders>
            <w:hideMark/>
          </w:tcPr>
          <w:p w14:paraId="19D6870B" w14:textId="64EA47CA" w:rsidR="00A901B4" w:rsidRPr="00ED25E3" w:rsidRDefault="00572D2F">
            <w:pPr>
              <w:rPr>
                <w:highlight w:val="yellow"/>
              </w:rPr>
            </w:pPr>
            <w:r w:rsidRPr="00572D2F">
              <w:t>40003006715</w:t>
            </w:r>
          </w:p>
        </w:tc>
        <w:tc>
          <w:tcPr>
            <w:tcW w:w="3544" w:type="dxa"/>
            <w:tcBorders>
              <w:top w:val="single" w:sz="4" w:space="0" w:color="auto"/>
              <w:left w:val="single" w:sz="4" w:space="0" w:color="auto"/>
              <w:bottom w:val="single" w:sz="4" w:space="0" w:color="auto"/>
              <w:right w:val="single" w:sz="4" w:space="0" w:color="auto"/>
            </w:tcBorders>
          </w:tcPr>
          <w:p w14:paraId="56077CD3" w14:textId="186D66CE" w:rsidR="00A901B4" w:rsidRPr="00586B6B" w:rsidRDefault="00A901B4"/>
        </w:tc>
      </w:tr>
      <w:tr w:rsidR="00A901B4" w14:paraId="399A998D" w14:textId="77777777">
        <w:trPr>
          <w:trHeight w:val="113"/>
        </w:trPr>
        <w:tc>
          <w:tcPr>
            <w:tcW w:w="2160" w:type="dxa"/>
            <w:tcBorders>
              <w:top w:val="single" w:sz="4" w:space="0" w:color="auto"/>
              <w:left w:val="single" w:sz="4" w:space="0" w:color="auto"/>
              <w:bottom w:val="single" w:sz="4" w:space="0" w:color="auto"/>
              <w:right w:val="single" w:sz="4" w:space="0" w:color="auto"/>
            </w:tcBorders>
            <w:hideMark/>
          </w:tcPr>
          <w:p w14:paraId="297B3358" w14:textId="77777777" w:rsidR="00A901B4" w:rsidRDefault="00A901B4">
            <w:bookmarkStart w:id="14" w:name="_Hlk53125638"/>
            <w:r>
              <w:t>Adrese</w:t>
            </w:r>
          </w:p>
        </w:tc>
        <w:tc>
          <w:tcPr>
            <w:tcW w:w="3386" w:type="dxa"/>
            <w:tcBorders>
              <w:top w:val="single" w:sz="4" w:space="0" w:color="auto"/>
              <w:left w:val="single" w:sz="4" w:space="0" w:color="auto"/>
              <w:bottom w:val="single" w:sz="4" w:space="0" w:color="auto"/>
              <w:right w:val="single" w:sz="4" w:space="0" w:color="auto"/>
            </w:tcBorders>
            <w:hideMark/>
          </w:tcPr>
          <w:p w14:paraId="766D8C02" w14:textId="3E78E634" w:rsidR="00A901B4" w:rsidRDefault="00572D2F">
            <w:r>
              <w:t>Jaunā iela 2A, Limbaži, Limbažu novads, LV-4001</w:t>
            </w:r>
          </w:p>
        </w:tc>
        <w:tc>
          <w:tcPr>
            <w:tcW w:w="3544" w:type="dxa"/>
            <w:tcBorders>
              <w:top w:val="single" w:sz="4" w:space="0" w:color="auto"/>
              <w:left w:val="single" w:sz="4" w:space="0" w:color="auto"/>
              <w:bottom w:val="single" w:sz="4" w:space="0" w:color="auto"/>
              <w:right w:val="single" w:sz="4" w:space="0" w:color="auto"/>
            </w:tcBorders>
          </w:tcPr>
          <w:p w14:paraId="63A12F25" w14:textId="6E109386" w:rsidR="00A901B4" w:rsidRPr="00586B6B" w:rsidRDefault="00A901B4"/>
        </w:tc>
      </w:tr>
      <w:bookmarkEnd w:id="14"/>
      <w:tr w:rsidR="00ED25E3" w14:paraId="5F0BE4EA" w14:textId="77777777">
        <w:trPr>
          <w:trHeight w:val="113"/>
        </w:trPr>
        <w:tc>
          <w:tcPr>
            <w:tcW w:w="2160" w:type="dxa"/>
            <w:tcBorders>
              <w:top w:val="single" w:sz="4" w:space="0" w:color="auto"/>
              <w:left w:val="single" w:sz="4" w:space="0" w:color="auto"/>
              <w:bottom w:val="single" w:sz="4" w:space="0" w:color="auto"/>
              <w:right w:val="single" w:sz="4" w:space="0" w:color="auto"/>
            </w:tcBorders>
          </w:tcPr>
          <w:p w14:paraId="49B9130A" w14:textId="5E6506FA" w:rsidR="00ED25E3" w:rsidRDefault="00ED25E3">
            <w:r>
              <w:t>Bankas konts</w:t>
            </w:r>
          </w:p>
        </w:tc>
        <w:tc>
          <w:tcPr>
            <w:tcW w:w="3386" w:type="dxa"/>
            <w:tcBorders>
              <w:top w:val="single" w:sz="4" w:space="0" w:color="auto"/>
              <w:left w:val="single" w:sz="4" w:space="0" w:color="auto"/>
              <w:bottom w:val="single" w:sz="4" w:space="0" w:color="auto"/>
              <w:right w:val="single" w:sz="4" w:space="0" w:color="auto"/>
            </w:tcBorders>
          </w:tcPr>
          <w:p w14:paraId="5C1C4B69" w14:textId="32245260" w:rsidR="00ED25E3" w:rsidRPr="00572D2F" w:rsidRDefault="00572D2F">
            <w:r w:rsidRPr="00572D2F">
              <w:t>LV62UNLA0013000467757</w:t>
            </w:r>
          </w:p>
        </w:tc>
        <w:tc>
          <w:tcPr>
            <w:tcW w:w="3544" w:type="dxa"/>
            <w:tcBorders>
              <w:top w:val="single" w:sz="4" w:space="0" w:color="auto"/>
              <w:left w:val="single" w:sz="4" w:space="0" w:color="auto"/>
              <w:bottom w:val="single" w:sz="4" w:space="0" w:color="auto"/>
              <w:right w:val="single" w:sz="4" w:space="0" w:color="auto"/>
            </w:tcBorders>
          </w:tcPr>
          <w:p w14:paraId="4485E0BF" w14:textId="46CD0EB1" w:rsidR="00ED25E3" w:rsidRPr="00586B6B" w:rsidRDefault="00ED25E3"/>
        </w:tc>
      </w:tr>
    </w:tbl>
    <w:p w14:paraId="46CCCB33" w14:textId="77777777" w:rsidR="00C11C11" w:rsidRDefault="00C11C11" w:rsidP="00A901B4">
      <w:pPr>
        <w:pStyle w:val="Sarakstarindkopa"/>
        <w:ind w:left="360"/>
        <w:rPr>
          <w:b/>
        </w:rPr>
      </w:pPr>
      <w:bookmarkStart w:id="15" w:name="_Toc337802636"/>
    </w:p>
    <w:p w14:paraId="02C1CCDD" w14:textId="69892383" w:rsidR="00A901B4" w:rsidRDefault="00A901B4" w:rsidP="00A901B4">
      <w:pPr>
        <w:pStyle w:val="Sarakstarindkopa"/>
        <w:numPr>
          <w:ilvl w:val="0"/>
          <w:numId w:val="1"/>
        </w:numPr>
        <w:rPr>
          <w:b/>
        </w:rPr>
      </w:pPr>
      <w:r>
        <w:rPr>
          <w:b/>
        </w:rPr>
        <w:t>Pušu paraksti</w:t>
      </w:r>
      <w:bookmarkEnd w:id="15"/>
    </w:p>
    <w:p w14:paraId="39CDE130" w14:textId="77777777" w:rsidR="00A901B4" w:rsidRDefault="00A901B4" w:rsidP="00A901B4">
      <w:pPr>
        <w:jc w:val="both"/>
        <w:rPr>
          <w:color w:val="000000"/>
          <w:szCs w:val="20"/>
        </w:rPr>
      </w:pPr>
      <w:r>
        <w:rPr>
          <w:b/>
          <w:bCs/>
          <w:color w:val="000000"/>
          <w:szCs w:val="20"/>
        </w:rPr>
        <w:t>Pasūtītājs</w:t>
      </w:r>
      <w:r>
        <w:rPr>
          <w:bCs/>
          <w:color w:val="000000"/>
          <w:szCs w:val="20"/>
        </w:rPr>
        <w:tab/>
      </w:r>
      <w:r>
        <w:rPr>
          <w:bCs/>
          <w:color w:val="000000"/>
          <w:szCs w:val="20"/>
        </w:rPr>
        <w:tab/>
      </w:r>
      <w:r>
        <w:rPr>
          <w:bCs/>
          <w:color w:val="000000"/>
          <w:szCs w:val="20"/>
        </w:rPr>
        <w:tab/>
      </w:r>
      <w:r>
        <w:rPr>
          <w:bCs/>
          <w:color w:val="000000"/>
          <w:szCs w:val="20"/>
        </w:rPr>
        <w:tab/>
      </w:r>
      <w:r>
        <w:rPr>
          <w:bCs/>
          <w:color w:val="000000"/>
          <w:szCs w:val="20"/>
        </w:rPr>
        <w:tab/>
      </w:r>
      <w:r>
        <w:rPr>
          <w:bCs/>
          <w:color w:val="000000"/>
          <w:szCs w:val="20"/>
        </w:rPr>
        <w:tab/>
      </w:r>
      <w:r w:rsidR="00FB3C6A">
        <w:rPr>
          <w:bCs/>
          <w:color w:val="000000"/>
          <w:szCs w:val="20"/>
        </w:rPr>
        <w:t xml:space="preserve"> </w:t>
      </w:r>
      <w:r>
        <w:rPr>
          <w:b/>
          <w:bCs/>
          <w:color w:val="000000"/>
          <w:szCs w:val="20"/>
        </w:rPr>
        <w:t>Izpildītājs</w:t>
      </w:r>
      <w:r>
        <w:rPr>
          <w:color w:val="000000"/>
          <w:szCs w:val="20"/>
        </w:rPr>
        <w:tab/>
      </w:r>
      <w:r>
        <w:rPr>
          <w:color w:val="000000"/>
          <w:szCs w:val="20"/>
        </w:rPr>
        <w:tab/>
      </w:r>
      <w:r>
        <w:rPr>
          <w:color w:val="000000"/>
          <w:szCs w:val="20"/>
        </w:rPr>
        <w:tab/>
      </w:r>
    </w:p>
    <w:p w14:paraId="2A44BB04" w14:textId="673495B2" w:rsidR="00A901B4" w:rsidRDefault="00A44260" w:rsidP="00A901B4">
      <w:pPr>
        <w:jc w:val="both"/>
        <w:rPr>
          <w:color w:val="000000"/>
          <w:szCs w:val="20"/>
        </w:rPr>
      </w:pPr>
      <w:r>
        <w:rPr>
          <w:color w:val="000000"/>
          <w:szCs w:val="20"/>
        </w:rPr>
        <w:t>SIA “</w:t>
      </w:r>
      <w:r w:rsidR="00A57047">
        <w:rPr>
          <w:color w:val="000000"/>
          <w:szCs w:val="20"/>
        </w:rPr>
        <w:t xml:space="preserve">Limbažu </w:t>
      </w:r>
      <w:r w:rsidR="00572D2F">
        <w:rPr>
          <w:color w:val="000000"/>
          <w:szCs w:val="20"/>
        </w:rPr>
        <w:t>s</w:t>
      </w:r>
      <w:r w:rsidR="00A57047">
        <w:rPr>
          <w:color w:val="000000"/>
          <w:szCs w:val="20"/>
        </w:rPr>
        <w:t>iltums</w:t>
      </w:r>
      <w:r>
        <w:rPr>
          <w:color w:val="000000"/>
          <w:szCs w:val="20"/>
        </w:rPr>
        <w:t>”</w:t>
      </w:r>
      <w:r w:rsidR="00A901B4">
        <w:rPr>
          <w:color w:val="000000"/>
          <w:szCs w:val="20"/>
        </w:rPr>
        <w:tab/>
      </w:r>
      <w:r w:rsidR="00A901B4">
        <w:rPr>
          <w:color w:val="000000"/>
          <w:szCs w:val="20"/>
        </w:rPr>
        <w:tab/>
      </w:r>
      <w:r w:rsidR="00A901B4">
        <w:rPr>
          <w:color w:val="000000"/>
          <w:szCs w:val="20"/>
        </w:rPr>
        <w:tab/>
        <w:t xml:space="preserve"> </w:t>
      </w:r>
      <w:r w:rsidR="00FB3C6A">
        <w:rPr>
          <w:color w:val="000000"/>
          <w:szCs w:val="20"/>
        </w:rPr>
        <w:t xml:space="preserve">          </w:t>
      </w:r>
      <w:r w:rsidR="00A57047">
        <w:rPr>
          <w:color w:val="000000"/>
          <w:szCs w:val="20"/>
        </w:rPr>
        <w:t xml:space="preserve">  </w:t>
      </w:r>
      <w:r w:rsidR="00BF7105">
        <w:rPr>
          <w:color w:val="000000"/>
          <w:szCs w:val="20"/>
        </w:rPr>
        <w:t xml:space="preserve">       </w:t>
      </w:r>
    </w:p>
    <w:p w14:paraId="29C7545B" w14:textId="36817ADC" w:rsidR="00A901B4" w:rsidRDefault="00A44260" w:rsidP="00A901B4">
      <w:pPr>
        <w:jc w:val="both"/>
        <w:rPr>
          <w:color w:val="000000"/>
          <w:szCs w:val="20"/>
        </w:rPr>
      </w:pPr>
      <w:r>
        <w:rPr>
          <w:color w:val="000000"/>
          <w:szCs w:val="20"/>
        </w:rPr>
        <w:t xml:space="preserve">Valdes </w:t>
      </w:r>
      <w:r w:rsidR="00572D2F">
        <w:rPr>
          <w:color w:val="000000"/>
          <w:szCs w:val="20"/>
        </w:rPr>
        <w:t xml:space="preserve">loceklis            </w:t>
      </w:r>
      <w:r w:rsidR="00964C91">
        <w:rPr>
          <w:color w:val="000000"/>
          <w:szCs w:val="20"/>
        </w:rPr>
        <w:t xml:space="preserve">              </w:t>
      </w:r>
      <w:r w:rsidR="00A901B4">
        <w:rPr>
          <w:color w:val="000000"/>
          <w:szCs w:val="20"/>
        </w:rPr>
        <w:tab/>
      </w:r>
      <w:r w:rsidR="00A901B4">
        <w:rPr>
          <w:color w:val="000000"/>
          <w:szCs w:val="20"/>
        </w:rPr>
        <w:tab/>
      </w:r>
      <w:r w:rsidR="00A901B4">
        <w:rPr>
          <w:color w:val="000000"/>
          <w:szCs w:val="20"/>
        </w:rPr>
        <w:tab/>
      </w:r>
      <w:r w:rsidR="00FB3C6A">
        <w:rPr>
          <w:color w:val="000000"/>
          <w:szCs w:val="20"/>
        </w:rPr>
        <w:t xml:space="preserve"> </w:t>
      </w:r>
    </w:p>
    <w:p w14:paraId="5EFC00F9" w14:textId="77777777" w:rsidR="00A901B4" w:rsidRDefault="00A901B4" w:rsidP="00A901B4">
      <w:pPr>
        <w:jc w:val="both"/>
        <w:rPr>
          <w:color w:val="000000"/>
          <w:szCs w:val="20"/>
        </w:rPr>
      </w:pPr>
    </w:p>
    <w:p w14:paraId="04BE291A" w14:textId="086DECB4" w:rsidR="00A901B4" w:rsidRDefault="00572D2F" w:rsidP="00A901B4">
      <w:pPr>
        <w:jc w:val="both"/>
        <w:rPr>
          <w:color w:val="000000"/>
          <w:sz w:val="16"/>
          <w:szCs w:val="20"/>
        </w:rPr>
      </w:pPr>
      <w:r>
        <w:rPr>
          <w:color w:val="000000"/>
        </w:rPr>
        <w:t>Ainārs Grīviņš</w:t>
      </w:r>
      <w:r w:rsidR="00FB3C6A" w:rsidRPr="00E26AEE">
        <w:rPr>
          <w:color w:val="000000"/>
        </w:rPr>
        <w:t>____</w:t>
      </w:r>
      <w:r w:rsidR="00E26AEE" w:rsidRPr="00E26AEE">
        <w:rPr>
          <w:color w:val="000000"/>
        </w:rPr>
        <w:t>(paraksts*)</w:t>
      </w:r>
      <w:r w:rsidR="00FB3C6A" w:rsidRPr="00E26AEE">
        <w:rPr>
          <w:color w:val="000000"/>
        </w:rPr>
        <w:t>____</w:t>
      </w:r>
      <w:r w:rsidR="004A0058">
        <w:rPr>
          <w:color w:val="000000"/>
          <w:sz w:val="16"/>
          <w:szCs w:val="20"/>
        </w:rPr>
        <w:tab/>
      </w:r>
      <w:r w:rsidR="004A0058">
        <w:rPr>
          <w:color w:val="000000"/>
          <w:sz w:val="16"/>
          <w:szCs w:val="20"/>
        </w:rPr>
        <w:tab/>
      </w:r>
      <w:r w:rsidR="004A0058">
        <w:rPr>
          <w:color w:val="000000"/>
          <w:sz w:val="16"/>
          <w:szCs w:val="20"/>
        </w:rPr>
        <w:tab/>
      </w:r>
      <w:r w:rsidR="007E63B8">
        <w:t>______</w:t>
      </w:r>
      <w:r w:rsidR="00E26AEE">
        <w:t>(paraksts*)</w:t>
      </w:r>
      <w:r w:rsidR="004A0058">
        <w:t>_______</w:t>
      </w:r>
      <w:r w:rsidR="004A0058">
        <w:tab/>
      </w:r>
    </w:p>
    <w:sectPr w:rsidR="00A901B4" w:rsidSect="008B73D2">
      <w:pgSz w:w="11906" w:h="16838"/>
      <w:pgMar w:top="851"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3352"/>
    <w:multiLevelType w:val="multilevel"/>
    <w:tmpl w:val="4A8A0B7C"/>
    <w:lvl w:ilvl="0">
      <w:start w:val="1"/>
      <w:numFmt w:val="decimal"/>
      <w:lvlText w:val="%1."/>
      <w:lvlJc w:val="left"/>
      <w:pPr>
        <w:ind w:left="502" w:hanging="360"/>
      </w:p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1430"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1" w15:restartNumberingAfterBreak="0">
    <w:nsid w:val="341714F7"/>
    <w:multiLevelType w:val="multilevel"/>
    <w:tmpl w:val="187CB404"/>
    <w:lvl w:ilvl="0">
      <w:start w:val="1"/>
      <w:numFmt w:val="decimal"/>
      <w:lvlText w:val="%1."/>
      <w:lvlJc w:val="left"/>
      <w:pPr>
        <w:ind w:left="36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3BB55052"/>
    <w:multiLevelType w:val="multilevel"/>
    <w:tmpl w:val="E12E5A42"/>
    <w:lvl w:ilvl="0">
      <w:start w:val="1"/>
      <w:numFmt w:val="decimal"/>
      <w:lvlText w:val="%1."/>
      <w:lvlJc w:val="left"/>
      <w:pPr>
        <w:ind w:left="502" w:hanging="360"/>
      </w:pPr>
      <w:rPr>
        <w:b/>
      </w:r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1B4"/>
    <w:rsid w:val="00047097"/>
    <w:rsid w:val="00055EFF"/>
    <w:rsid w:val="0007559C"/>
    <w:rsid w:val="00087A72"/>
    <w:rsid w:val="000B3DFF"/>
    <w:rsid w:val="000C439A"/>
    <w:rsid w:val="000E50E5"/>
    <w:rsid w:val="000F580A"/>
    <w:rsid w:val="00140599"/>
    <w:rsid w:val="001441A0"/>
    <w:rsid w:val="00153013"/>
    <w:rsid w:val="001916E5"/>
    <w:rsid w:val="00196087"/>
    <w:rsid w:val="00197930"/>
    <w:rsid w:val="001B48D0"/>
    <w:rsid w:val="001D094A"/>
    <w:rsid w:val="001E7B0D"/>
    <w:rsid w:val="00246626"/>
    <w:rsid w:val="00260C2C"/>
    <w:rsid w:val="0026189F"/>
    <w:rsid w:val="00291699"/>
    <w:rsid w:val="002D78F2"/>
    <w:rsid w:val="002D7B0D"/>
    <w:rsid w:val="003012C5"/>
    <w:rsid w:val="00305D25"/>
    <w:rsid w:val="0032091F"/>
    <w:rsid w:val="00327358"/>
    <w:rsid w:val="003531AA"/>
    <w:rsid w:val="00390221"/>
    <w:rsid w:val="003A3CD4"/>
    <w:rsid w:val="003A5E13"/>
    <w:rsid w:val="003B7AD6"/>
    <w:rsid w:val="003C04B2"/>
    <w:rsid w:val="003E54ED"/>
    <w:rsid w:val="003F744B"/>
    <w:rsid w:val="00440095"/>
    <w:rsid w:val="00457799"/>
    <w:rsid w:val="00470AC0"/>
    <w:rsid w:val="00471C92"/>
    <w:rsid w:val="004A0058"/>
    <w:rsid w:val="004C14CE"/>
    <w:rsid w:val="004C7705"/>
    <w:rsid w:val="00551267"/>
    <w:rsid w:val="00572D2F"/>
    <w:rsid w:val="005766F6"/>
    <w:rsid w:val="0058587A"/>
    <w:rsid w:val="00586B6B"/>
    <w:rsid w:val="00595266"/>
    <w:rsid w:val="005A16C6"/>
    <w:rsid w:val="005A6591"/>
    <w:rsid w:val="005A7198"/>
    <w:rsid w:val="005B3234"/>
    <w:rsid w:val="006012CD"/>
    <w:rsid w:val="00601A94"/>
    <w:rsid w:val="00602108"/>
    <w:rsid w:val="00603738"/>
    <w:rsid w:val="006104E1"/>
    <w:rsid w:val="00687CE5"/>
    <w:rsid w:val="00694E83"/>
    <w:rsid w:val="006A7796"/>
    <w:rsid w:val="00722F3B"/>
    <w:rsid w:val="007350B8"/>
    <w:rsid w:val="00756392"/>
    <w:rsid w:val="00774B48"/>
    <w:rsid w:val="0078744F"/>
    <w:rsid w:val="007A2C4B"/>
    <w:rsid w:val="007A37D0"/>
    <w:rsid w:val="007B3676"/>
    <w:rsid w:val="007C1C67"/>
    <w:rsid w:val="007C53EF"/>
    <w:rsid w:val="007E63B8"/>
    <w:rsid w:val="00800E79"/>
    <w:rsid w:val="00811AF1"/>
    <w:rsid w:val="00831D1D"/>
    <w:rsid w:val="00842B49"/>
    <w:rsid w:val="0084594C"/>
    <w:rsid w:val="00850356"/>
    <w:rsid w:val="008534ED"/>
    <w:rsid w:val="00861F9B"/>
    <w:rsid w:val="00872C50"/>
    <w:rsid w:val="00873CF3"/>
    <w:rsid w:val="00877529"/>
    <w:rsid w:val="00880487"/>
    <w:rsid w:val="00884D7B"/>
    <w:rsid w:val="00892C5A"/>
    <w:rsid w:val="008A0251"/>
    <w:rsid w:val="008A5D4C"/>
    <w:rsid w:val="008B3354"/>
    <w:rsid w:val="008B73D2"/>
    <w:rsid w:val="008C4088"/>
    <w:rsid w:val="008E4798"/>
    <w:rsid w:val="0095610B"/>
    <w:rsid w:val="00964C91"/>
    <w:rsid w:val="0098565C"/>
    <w:rsid w:val="0099565C"/>
    <w:rsid w:val="009B74FC"/>
    <w:rsid w:val="009E2582"/>
    <w:rsid w:val="00A2720B"/>
    <w:rsid w:val="00A317D9"/>
    <w:rsid w:val="00A44260"/>
    <w:rsid w:val="00A57047"/>
    <w:rsid w:val="00A61E1A"/>
    <w:rsid w:val="00A74F9F"/>
    <w:rsid w:val="00A901B4"/>
    <w:rsid w:val="00A933DE"/>
    <w:rsid w:val="00AA6C35"/>
    <w:rsid w:val="00AB3396"/>
    <w:rsid w:val="00AB36CD"/>
    <w:rsid w:val="00AF3D8C"/>
    <w:rsid w:val="00B0343C"/>
    <w:rsid w:val="00B03ADC"/>
    <w:rsid w:val="00B20481"/>
    <w:rsid w:val="00B270DC"/>
    <w:rsid w:val="00B62D91"/>
    <w:rsid w:val="00B9338C"/>
    <w:rsid w:val="00BA195F"/>
    <w:rsid w:val="00BC3481"/>
    <w:rsid w:val="00BE2A06"/>
    <w:rsid w:val="00BF7105"/>
    <w:rsid w:val="00C0460D"/>
    <w:rsid w:val="00C07FE9"/>
    <w:rsid w:val="00C105AB"/>
    <w:rsid w:val="00C10E6C"/>
    <w:rsid w:val="00C11C11"/>
    <w:rsid w:val="00C26F01"/>
    <w:rsid w:val="00C27314"/>
    <w:rsid w:val="00C660F7"/>
    <w:rsid w:val="00C8740F"/>
    <w:rsid w:val="00C90520"/>
    <w:rsid w:val="00C91FF5"/>
    <w:rsid w:val="00CB0D01"/>
    <w:rsid w:val="00CC0066"/>
    <w:rsid w:val="00CE1737"/>
    <w:rsid w:val="00CE6EA3"/>
    <w:rsid w:val="00CF00E4"/>
    <w:rsid w:val="00D325EE"/>
    <w:rsid w:val="00D44F9C"/>
    <w:rsid w:val="00D45D8F"/>
    <w:rsid w:val="00D5457F"/>
    <w:rsid w:val="00D81841"/>
    <w:rsid w:val="00DB7CB3"/>
    <w:rsid w:val="00DD3AEA"/>
    <w:rsid w:val="00DD47BC"/>
    <w:rsid w:val="00DE4DBF"/>
    <w:rsid w:val="00DF19AF"/>
    <w:rsid w:val="00E029DC"/>
    <w:rsid w:val="00E208F4"/>
    <w:rsid w:val="00E26AEE"/>
    <w:rsid w:val="00E920DF"/>
    <w:rsid w:val="00ED25E3"/>
    <w:rsid w:val="00ED6CE1"/>
    <w:rsid w:val="00F00F22"/>
    <w:rsid w:val="00F26A1B"/>
    <w:rsid w:val="00F303CA"/>
    <w:rsid w:val="00F522FB"/>
    <w:rsid w:val="00F83A73"/>
    <w:rsid w:val="00FB3C6A"/>
    <w:rsid w:val="00FF31E0"/>
    <w:rsid w:val="00FF4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8754"/>
  <w15:docId w15:val="{FF02FC94-2A59-4B72-94E3-BEFAA330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901B4"/>
    <w:pPr>
      <w:spacing w:after="0" w:line="240" w:lineRule="auto"/>
    </w:pPr>
    <w:rPr>
      <w:rFonts w:ascii="Times New Roman" w:eastAsia="Times New Roman" w:hAnsi="Times New Roman" w:cs="Times New Roman"/>
      <w:sz w:val="24"/>
      <w:szCs w:val="24"/>
    </w:rPr>
  </w:style>
  <w:style w:type="paragraph" w:styleId="Virsraksts3">
    <w:name w:val="heading 3"/>
    <w:basedOn w:val="Parasts"/>
    <w:next w:val="Parasts"/>
    <w:link w:val="Virsraksts3Rakstz"/>
    <w:uiPriority w:val="99"/>
    <w:semiHidden/>
    <w:unhideWhenUsed/>
    <w:qFormat/>
    <w:rsid w:val="00A901B4"/>
    <w:pPr>
      <w:keepNext/>
      <w:spacing w:before="240" w:after="120"/>
      <w:outlineLvl w:val="2"/>
    </w:pPr>
    <w:rPr>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9"/>
    <w:semiHidden/>
    <w:rsid w:val="00A901B4"/>
    <w:rPr>
      <w:rFonts w:ascii="Times New Roman" w:eastAsia="Times New Roman" w:hAnsi="Times New Roman" w:cs="Times New Roman"/>
      <w:sz w:val="32"/>
      <w:szCs w:val="20"/>
    </w:rPr>
  </w:style>
  <w:style w:type="character" w:customStyle="1" w:styleId="ParaststmeklisRakstz">
    <w:name w:val="Parasts (tīmeklis) Rakstz."/>
    <w:link w:val="Paraststmeklis"/>
    <w:uiPriority w:val="99"/>
    <w:locked/>
    <w:rsid w:val="00A901B4"/>
    <w:rPr>
      <w:sz w:val="24"/>
      <w:szCs w:val="24"/>
      <w:lang w:val="en-GB"/>
    </w:rPr>
  </w:style>
  <w:style w:type="paragraph" w:styleId="Paraststmeklis">
    <w:name w:val="Normal (Web)"/>
    <w:basedOn w:val="Parasts"/>
    <w:link w:val="ParaststmeklisRakstz"/>
    <w:uiPriority w:val="99"/>
    <w:unhideWhenUsed/>
    <w:rsid w:val="00A901B4"/>
    <w:pPr>
      <w:spacing w:before="100" w:beforeAutospacing="1" w:after="100" w:afterAutospacing="1"/>
      <w:jc w:val="both"/>
    </w:pPr>
    <w:rPr>
      <w:rFonts w:asciiTheme="minorHAnsi" w:eastAsiaTheme="minorHAnsi" w:hAnsiTheme="minorHAnsi" w:cstheme="minorBidi"/>
      <w:lang w:val="en-GB"/>
    </w:rPr>
  </w:style>
  <w:style w:type="paragraph" w:styleId="Sarakstarindkopa">
    <w:name w:val="List Paragraph"/>
    <w:basedOn w:val="Parasts"/>
    <w:uiPriority w:val="99"/>
    <w:qFormat/>
    <w:rsid w:val="00A901B4"/>
    <w:pPr>
      <w:ind w:left="720"/>
      <w:contextualSpacing/>
    </w:pPr>
  </w:style>
  <w:style w:type="character" w:styleId="Hipersaite">
    <w:name w:val="Hyperlink"/>
    <w:basedOn w:val="Noklusjumarindkopasfonts"/>
    <w:uiPriority w:val="99"/>
    <w:unhideWhenUsed/>
    <w:rsid w:val="00687CE5"/>
    <w:rPr>
      <w:color w:val="0000FF" w:themeColor="hyperlink"/>
      <w:u w:val="single"/>
    </w:rPr>
  </w:style>
  <w:style w:type="character" w:styleId="Neatrisintapieminana">
    <w:name w:val="Unresolved Mention"/>
    <w:basedOn w:val="Noklusjumarindkopasfonts"/>
    <w:uiPriority w:val="99"/>
    <w:semiHidden/>
    <w:unhideWhenUsed/>
    <w:rsid w:val="00687CE5"/>
    <w:rPr>
      <w:color w:val="605E5C"/>
      <w:shd w:val="clear" w:color="auto" w:fill="E1DFDD"/>
    </w:rPr>
  </w:style>
  <w:style w:type="table" w:styleId="Reatabula">
    <w:name w:val="Table Grid"/>
    <w:basedOn w:val="Parastatabula"/>
    <w:uiPriority w:val="59"/>
    <w:rsid w:val="00FF4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F710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F71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7561</Words>
  <Characters>4311</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Inga</cp:lastModifiedBy>
  <cp:revision>12</cp:revision>
  <cp:lastPrinted>2021-04-22T08:51:00Z</cp:lastPrinted>
  <dcterms:created xsi:type="dcterms:W3CDTF">2021-04-22T07:36:00Z</dcterms:created>
  <dcterms:modified xsi:type="dcterms:W3CDTF">2021-04-22T13:09:00Z</dcterms:modified>
</cp:coreProperties>
</file>